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6" w:lineRule="auto"/>
        <w:jc w:val="center"/>
        <w:rPr>
          <w:rFonts w:hint="default" w:ascii="Times New Roman" w:hAnsi="Times New Roman" w:eastAsia="黑体" w:cs="Times New Roman"/>
          <w:b/>
          <w:color w:val="000000"/>
          <w:kern w:val="0"/>
          <w:sz w:val="36"/>
          <w:szCs w:val="36"/>
          <w:lang w:val="en-US" w:eastAsia="zh-CN" w:bidi="ar"/>
        </w:rPr>
      </w:pPr>
      <w:r>
        <w:rPr>
          <w:rFonts w:hint="eastAsia" w:ascii="Times New Roman" w:hAnsi="Times New Roman" w:eastAsia="黑体" w:cs="Times New Roman"/>
          <w:b/>
          <w:color w:val="000000"/>
          <w:kern w:val="0"/>
          <w:sz w:val="36"/>
          <w:szCs w:val="36"/>
          <w:lang w:val="en-US" w:eastAsia="zh-CN" w:bidi="ar"/>
        </w:rPr>
        <w:t>上海交通大学</w:t>
      </w:r>
      <w:r>
        <w:rPr>
          <w:rFonts w:hint="default" w:ascii="Times New Roman" w:hAnsi="Times New Roman" w:eastAsia="黑体" w:cs="Times New Roman"/>
          <w:b/>
          <w:color w:val="000000"/>
          <w:kern w:val="0"/>
          <w:sz w:val="36"/>
          <w:szCs w:val="36"/>
          <w:lang w:val="en-US" w:eastAsia="zh-CN" w:bidi="ar"/>
        </w:rPr>
        <w:t>教育学院</w:t>
      </w:r>
    </w:p>
    <w:p>
      <w:pPr>
        <w:widowControl/>
        <w:spacing w:line="336" w:lineRule="auto"/>
        <w:jc w:val="center"/>
        <w:rPr>
          <w:rFonts w:hint="default" w:ascii="Times New Roman" w:hAnsi="Times New Roman" w:eastAsia="黑体" w:cs="Times New Roman"/>
          <w:b/>
          <w:color w:val="000000"/>
          <w:kern w:val="0"/>
          <w:sz w:val="36"/>
          <w:szCs w:val="36"/>
          <w:lang w:val="en-US" w:eastAsia="zh-CN" w:bidi="ar"/>
        </w:rPr>
      </w:pPr>
      <w:r>
        <w:rPr>
          <w:rFonts w:hint="default" w:ascii="Times New Roman" w:hAnsi="Times New Roman" w:eastAsia="黑体" w:cs="Times New Roman"/>
          <w:b/>
          <w:color w:val="000000"/>
          <w:kern w:val="0"/>
          <w:sz w:val="36"/>
          <w:szCs w:val="36"/>
          <w:lang w:val="en-US" w:eastAsia="zh-CN" w:bidi="ar"/>
        </w:rPr>
        <w:t>2021级公共管理博士研究生培养方案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一、</w:t>
      </w:r>
      <w:r>
        <w:rPr>
          <w:rFonts w:hint="default" w:ascii="黑体" w:hAnsi="黑体" w:eastAsia="黑体" w:cs="黑体"/>
          <w:b/>
          <w:bCs/>
          <w:i w:val="0"/>
          <w:iCs w:val="0"/>
          <w:color w:val="000000"/>
          <w:kern w:val="0"/>
          <w:sz w:val="28"/>
          <w:szCs w:val="28"/>
          <w:u w:val="none"/>
          <w:lang w:val="en-US" w:eastAsia="zh-CN" w:bidi="ar"/>
        </w:rPr>
        <w:t>基本信息</w:t>
      </w:r>
    </w:p>
    <w:tbl>
      <w:tblPr>
        <w:tblStyle w:val="4"/>
        <w:tblW w:w="4822" w:type="pct"/>
        <w:jc w:val="center"/>
        <w:shd w:val="clear" w:color="auto" w:fill="auto"/>
        <w:tblLayout w:type="autofit"/>
        <w:tblCellMar>
          <w:top w:w="0" w:type="dxa"/>
          <w:left w:w="108" w:type="dxa"/>
          <w:bottom w:w="0" w:type="dxa"/>
          <w:right w:w="108" w:type="dxa"/>
        </w:tblCellMar>
      </w:tblPr>
      <w:tblGrid>
        <w:gridCol w:w="1669"/>
        <w:gridCol w:w="910"/>
        <w:gridCol w:w="1786"/>
        <w:gridCol w:w="905"/>
        <w:gridCol w:w="1615"/>
        <w:gridCol w:w="1328"/>
      </w:tblGrid>
      <w:tr>
        <w:tblPrEx>
          <w:shd w:val="clear" w:color="auto" w:fill="auto"/>
          <w:tblCellMar>
            <w:top w:w="0" w:type="dxa"/>
            <w:left w:w="108" w:type="dxa"/>
            <w:bottom w:w="0" w:type="dxa"/>
            <w:right w:w="108" w:type="dxa"/>
          </w:tblCellMar>
        </w:tblPrEx>
        <w:trPr>
          <w:trHeight w:val="607" w:hRule="atLeast"/>
          <w:jc w:val="center"/>
        </w:trPr>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院 系 名 称</w:t>
            </w:r>
          </w:p>
        </w:tc>
        <w:tc>
          <w:tcPr>
            <w:tcW w:w="219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(350)教育学院</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适 用 年 级</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2021</w:t>
            </w:r>
          </w:p>
        </w:tc>
      </w:tr>
      <w:tr>
        <w:tblPrEx>
          <w:tblCellMar>
            <w:top w:w="0" w:type="dxa"/>
            <w:left w:w="108" w:type="dxa"/>
            <w:bottom w:w="0" w:type="dxa"/>
            <w:right w:w="108" w:type="dxa"/>
          </w:tblCellMar>
        </w:tblPrEx>
        <w:trPr>
          <w:trHeight w:val="532" w:hRule="atLeast"/>
          <w:jc w:val="center"/>
        </w:trPr>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适 用 专 业</w:t>
            </w:r>
          </w:p>
        </w:tc>
        <w:tc>
          <w:tcPr>
            <w:tcW w:w="398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公共管理(120400)</w:t>
            </w:r>
          </w:p>
        </w:tc>
      </w:tr>
      <w:tr>
        <w:trPr>
          <w:trHeight w:val="592" w:hRule="atLeast"/>
          <w:jc w:val="center"/>
        </w:trPr>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项 目 类 型</w:t>
            </w:r>
          </w:p>
        </w:tc>
        <w:tc>
          <w:tcPr>
            <w:tcW w:w="398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全日制博士</w:t>
            </w:r>
          </w:p>
        </w:tc>
      </w:tr>
      <w:tr>
        <w:trPr>
          <w:trHeight w:val="549" w:hRule="atLeast"/>
          <w:jc w:val="center"/>
        </w:trPr>
        <w:tc>
          <w:tcPr>
            <w:tcW w:w="10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最 低 学 分</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17</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最低GPA学分</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15</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最低GPA</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2.7</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二、</w:t>
      </w:r>
      <w:r>
        <w:rPr>
          <w:rFonts w:hint="default" w:ascii="黑体" w:hAnsi="黑体" w:eastAsia="黑体" w:cs="黑体"/>
          <w:b/>
          <w:bCs/>
          <w:i w:val="0"/>
          <w:iCs w:val="0"/>
          <w:color w:val="000000"/>
          <w:kern w:val="0"/>
          <w:sz w:val="28"/>
          <w:szCs w:val="28"/>
          <w:u w:val="none"/>
          <w:lang w:val="en-US" w:eastAsia="zh-CN" w:bidi="ar"/>
        </w:rPr>
        <w:t xml:space="preserve">学科简介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教育学院</w:t>
      </w:r>
      <w:r>
        <w:rPr>
          <w:rFonts w:hint="eastAsia" w:ascii="Times New Roman" w:hAnsi="Times New Roman" w:eastAsia="楷体" w:cs="Times New Roman"/>
          <w:i w:val="0"/>
          <w:iCs w:val="0"/>
          <w:color w:val="000000"/>
          <w:kern w:val="0"/>
          <w:sz w:val="24"/>
          <w:szCs w:val="24"/>
          <w:u w:val="none"/>
          <w:lang w:val="en-US" w:eastAsia="zh-CN" w:bidi="ar"/>
        </w:rPr>
        <w:t>于</w:t>
      </w:r>
      <w:r>
        <w:rPr>
          <w:rFonts w:hint="default" w:ascii="Times New Roman" w:hAnsi="Times New Roman" w:eastAsia="楷体" w:cs="Times New Roman"/>
          <w:i w:val="0"/>
          <w:iCs w:val="0"/>
          <w:color w:val="000000"/>
          <w:kern w:val="0"/>
          <w:sz w:val="24"/>
          <w:szCs w:val="24"/>
          <w:u w:val="none"/>
          <w:lang w:val="en-US" w:eastAsia="zh-CN" w:bidi="ar"/>
        </w:rPr>
        <w:t>2003年设立科技与教育管理博士点</w:t>
      </w:r>
      <w:r>
        <w:rPr>
          <w:rFonts w:hint="eastAsia" w:ascii="Times New Roman" w:hAnsi="Times New Roman" w:eastAsia="楷体" w:cs="Times New Roman"/>
          <w:i w:val="0"/>
          <w:iCs w:val="0"/>
          <w:color w:val="000000"/>
          <w:kern w:val="0"/>
          <w:sz w:val="24"/>
          <w:szCs w:val="24"/>
          <w:u w:val="none"/>
          <w:lang w:val="en-US" w:eastAsia="zh-CN" w:bidi="ar"/>
        </w:rPr>
        <w:t>，</w:t>
      </w:r>
      <w:r>
        <w:rPr>
          <w:rFonts w:hint="default" w:ascii="Times New Roman" w:hAnsi="Times New Roman" w:eastAsia="楷体" w:cs="Times New Roman"/>
          <w:i w:val="0"/>
          <w:iCs w:val="0"/>
          <w:color w:val="000000"/>
          <w:kern w:val="0"/>
          <w:sz w:val="24"/>
          <w:szCs w:val="24"/>
          <w:u w:val="none"/>
          <w:lang w:val="en-US" w:eastAsia="zh-CN" w:bidi="ar"/>
        </w:rPr>
        <w:t>2004年开始培养博士生，2009年开始招收博士后</w:t>
      </w:r>
      <w:r>
        <w:rPr>
          <w:rFonts w:hint="eastAsia" w:ascii="Times New Roman" w:hAnsi="Times New Roman" w:eastAsia="楷体" w:cs="Times New Roman"/>
          <w:i w:val="0"/>
          <w:iCs w:val="0"/>
          <w:color w:val="000000"/>
          <w:kern w:val="0"/>
          <w:sz w:val="24"/>
          <w:szCs w:val="24"/>
          <w:u w:val="none"/>
          <w:lang w:val="en-US" w:eastAsia="zh-CN" w:bidi="ar"/>
        </w:rPr>
        <w:t>，</w:t>
      </w:r>
      <w:r>
        <w:rPr>
          <w:rFonts w:hint="default" w:ascii="Times New Roman" w:hAnsi="Times New Roman" w:eastAsia="楷体" w:cs="Times New Roman"/>
          <w:i w:val="0"/>
          <w:iCs w:val="0"/>
          <w:color w:val="000000"/>
          <w:kern w:val="0"/>
          <w:sz w:val="24"/>
          <w:szCs w:val="24"/>
          <w:u w:val="none"/>
          <w:lang w:val="en-US" w:eastAsia="zh-CN" w:bidi="ar"/>
        </w:rPr>
        <w:t>2012年设立公共管理博士点。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本学科点主要研究领域包括世界一流大学、现代大学制度、高等教育评估、科技政策与评价、大学教育教学、研究生教育。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经过长期的办学积累，本学科点形成了鲜明的办学特色：一是以定量和实证研究为主要手段；二是理论研究和政策咨询紧密结合；三是领先的国际化战略。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三、</w:t>
      </w:r>
      <w:r>
        <w:rPr>
          <w:rFonts w:hint="default" w:ascii="黑体" w:hAnsi="黑体" w:eastAsia="黑体" w:cs="黑体"/>
          <w:b/>
          <w:bCs/>
          <w:i w:val="0"/>
          <w:iCs w:val="0"/>
          <w:color w:val="000000"/>
          <w:kern w:val="0"/>
          <w:sz w:val="28"/>
          <w:szCs w:val="28"/>
          <w:u w:val="none"/>
          <w:lang w:val="en-US" w:eastAsia="zh-CN" w:bidi="ar"/>
        </w:rPr>
        <w:t xml:space="preserve">培养目标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（一）</w:t>
      </w:r>
      <w:r>
        <w:rPr>
          <w:rFonts w:hint="default" w:ascii="Times New Roman" w:hAnsi="Times New Roman" w:eastAsia="楷体" w:cs="Times New Roman"/>
          <w:i w:val="0"/>
          <w:iCs w:val="0"/>
          <w:color w:val="000000"/>
          <w:kern w:val="0"/>
          <w:sz w:val="24"/>
          <w:szCs w:val="24"/>
          <w:u w:val="none"/>
          <w:lang w:val="en-US" w:eastAsia="zh-CN" w:bidi="ar"/>
        </w:rPr>
        <w:t>本专业博士毕业生应系统扎实地掌握本学科的基础理论、专业知识和研究方法，深入了解本学科的国内外进展动向和最新前沿，并在本学科取得理论或实践上的创造性研究成果；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（二）</w:t>
      </w:r>
      <w:r>
        <w:rPr>
          <w:rFonts w:hint="default" w:ascii="Times New Roman" w:hAnsi="Times New Roman" w:eastAsia="楷体" w:cs="Times New Roman"/>
          <w:i w:val="0"/>
          <w:iCs w:val="0"/>
          <w:color w:val="000000"/>
          <w:kern w:val="0"/>
          <w:sz w:val="24"/>
          <w:szCs w:val="24"/>
          <w:u w:val="none"/>
          <w:lang w:val="en-US" w:eastAsia="zh-CN" w:bidi="ar"/>
        </w:rPr>
        <w:t>应具备熟练阅读本学科外文文献能力、较强学术写作能力和国际交流能力；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（三）</w:t>
      </w:r>
      <w:r>
        <w:rPr>
          <w:rFonts w:hint="default" w:ascii="Times New Roman" w:hAnsi="Times New Roman" w:eastAsia="楷体" w:cs="Times New Roman"/>
          <w:i w:val="0"/>
          <w:iCs w:val="0"/>
          <w:color w:val="000000"/>
          <w:kern w:val="0"/>
          <w:sz w:val="24"/>
          <w:szCs w:val="24"/>
          <w:u w:val="none"/>
          <w:lang w:val="en-US" w:eastAsia="zh-CN" w:bidi="ar"/>
        </w:rPr>
        <w:t>应具有良好端正的政治品质、严谨求实的治学态度和独立开展科学研究的能</w:t>
      </w:r>
      <w:r>
        <w:rPr>
          <w:rFonts w:hint="eastAsia" w:ascii="Times New Roman" w:hAnsi="Times New Roman" w:eastAsia="楷体" w:cs="Times New Roman"/>
          <w:i w:val="0"/>
          <w:iCs w:val="0"/>
          <w:color w:val="000000"/>
          <w:kern w:val="0"/>
          <w:sz w:val="24"/>
          <w:szCs w:val="24"/>
          <w:u w:val="none"/>
          <w:lang w:val="en-US" w:eastAsia="zh-CN" w:bidi="ar"/>
        </w:rPr>
        <w:t>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（四）</w:t>
      </w:r>
      <w:r>
        <w:rPr>
          <w:rFonts w:hint="default" w:ascii="Times New Roman" w:hAnsi="Times New Roman" w:eastAsia="楷体" w:cs="Times New Roman"/>
          <w:i w:val="0"/>
          <w:iCs w:val="0"/>
          <w:color w:val="000000"/>
          <w:kern w:val="0"/>
          <w:sz w:val="24"/>
          <w:szCs w:val="24"/>
          <w:u w:val="none"/>
          <w:lang w:val="en-US" w:eastAsia="zh-CN" w:bidi="ar"/>
        </w:rPr>
        <w:t>应</w:t>
      </w:r>
      <w:r>
        <w:rPr>
          <w:rFonts w:hint="eastAsia" w:ascii="Times New Roman" w:hAnsi="Times New Roman" w:eastAsia="楷体" w:cs="Times New Roman"/>
          <w:i w:val="0"/>
          <w:iCs w:val="0"/>
          <w:color w:val="000000"/>
          <w:kern w:val="0"/>
          <w:sz w:val="24"/>
          <w:szCs w:val="24"/>
          <w:u w:val="none"/>
          <w:lang w:val="en-US" w:eastAsia="zh-CN" w:bidi="ar"/>
        </w:rPr>
        <w:t>成</w:t>
      </w:r>
      <w:r>
        <w:rPr>
          <w:rFonts w:hint="default" w:ascii="Times New Roman" w:hAnsi="Times New Roman" w:eastAsia="楷体" w:cs="Times New Roman"/>
          <w:i w:val="0"/>
          <w:iCs w:val="0"/>
          <w:color w:val="000000"/>
          <w:kern w:val="0"/>
          <w:sz w:val="24"/>
          <w:szCs w:val="24"/>
          <w:u w:val="none"/>
          <w:lang w:val="en-US" w:eastAsia="zh-CN" w:bidi="ar"/>
        </w:rPr>
        <w:t>为能胜任高等院校或科研机构的教学、研究、管理、咨询等工作的高级专门人才。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四、</w:t>
      </w:r>
      <w:r>
        <w:rPr>
          <w:rFonts w:hint="default" w:ascii="黑体" w:hAnsi="黑体" w:eastAsia="黑体" w:cs="黑体"/>
          <w:b/>
          <w:bCs/>
          <w:i w:val="0"/>
          <w:iCs w:val="0"/>
          <w:color w:val="000000"/>
          <w:kern w:val="0"/>
          <w:sz w:val="28"/>
          <w:szCs w:val="28"/>
          <w:u w:val="none"/>
          <w:lang w:val="en-US" w:eastAsia="zh-CN" w:bidi="ar"/>
        </w:rPr>
        <w:t xml:space="preserve">培养方式及学习年限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全日制博士生的基本学习年限为4年。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五、</w:t>
      </w:r>
      <w:r>
        <w:rPr>
          <w:rFonts w:hint="default" w:ascii="黑体" w:hAnsi="黑体" w:eastAsia="黑体" w:cs="黑体"/>
          <w:b/>
          <w:bCs/>
          <w:i w:val="0"/>
          <w:iCs w:val="0"/>
          <w:color w:val="000000"/>
          <w:kern w:val="0"/>
          <w:sz w:val="28"/>
          <w:szCs w:val="28"/>
          <w:u w:val="none"/>
          <w:lang w:val="en-US" w:eastAsia="zh-CN" w:bidi="ar"/>
        </w:rPr>
        <w:t xml:space="preserve">课程学习要求 </w:t>
      </w:r>
    </w:p>
    <w:tbl>
      <w:tblPr>
        <w:tblStyle w:val="4"/>
        <w:tblW w:w="5000" w:type="pct"/>
        <w:tblInd w:w="0" w:type="dxa"/>
        <w:shd w:val="clear" w:color="auto" w:fill="auto"/>
        <w:tblLayout w:type="autofit"/>
        <w:tblCellMar>
          <w:top w:w="0" w:type="dxa"/>
          <w:left w:w="108" w:type="dxa"/>
          <w:bottom w:w="0" w:type="dxa"/>
          <w:right w:w="108" w:type="dxa"/>
        </w:tblCellMar>
      </w:tblPr>
      <w:tblGrid>
        <w:gridCol w:w="2557"/>
        <w:gridCol w:w="1516"/>
        <w:gridCol w:w="2368"/>
        <w:gridCol w:w="2075"/>
      </w:tblGrid>
      <w:tr>
        <w:tblPrEx>
          <w:shd w:val="clear" w:color="auto" w:fill="auto"/>
          <w:tblCellMar>
            <w:top w:w="0" w:type="dxa"/>
            <w:left w:w="108" w:type="dxa"/>
            <w:bottom w:w="0" w:type="dxa"/>
            <w:right w:w="108" w:type="dxa"/>
          </w:tblCellMar>
        </w:tblPrEx>
        <w:trPr>
          <w:trHeight w:val="587" w:hRule="atLeast"/>
        </w:trPr>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课程类别</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学分要求</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GPA 学分要求</w:t>
            </w: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512" w:hRule="atLeast"/>
        </w:trPr>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公共基础课</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4</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512" w:hRule="atLeast"/>
        </w:trPr>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专业基础课</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11</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512" w:hRule="atLeast"/>
        </w:trPr>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专业前沿课</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512" w:hRule="atLeast"/>
        </w:trPr>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专业选修课</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0</w:t>
            </w:r>
          </w:p>
        </w:tc>
        <w:tc>
          <w:tcPr>
            <w:tcW w:w="13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六、</w:t>
      </w:r>
      <w:r>
        <w:rPr>
          <w:rFonts w:hint="default" w:ascii="黑体" w:hAnsi="黑体" w:eastAsia="黑体" w:cs="黑体"/>
          <w:b/>
          <w:bCs/>
          <w:i w:val="0"/>
          <w:iCs w:val="0"/>
          <w:color w:val="000000"/>
          <w:kern w:val="0"/>
          <w:sz w:val="28"/>
          <w:szCs w:val="28"/>
          <w:u w:val="none"/>
          <w:lang w:val="en-US" w:eastAsia="zh-CN" w:bidi="ar"/>
        </w:rPr>
        <w:t xml:space="preserve">培养过程要求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博士研究生应在入学后1个月内在导师指导下制订培养计划</w:t>
      </w:r>
      <w:r>
        <w:rPr>
          <w:rFonts w:hint="eastAsia" w:ascii="Times New Roman" w:hAnsi="Times New Roman" w:eastAsia="楷体" w:cs="Times New Roman"/>
          <w:i w:val="0"/>
          <w:iCs w:val="0"/>
          <w:color w:val="000000"/>
          <w:kern w:val="0"/>
          <w:sz w:val="24"/>
          <w:szCs w:val="24"/>
          <w:u w:val="none"/>
          <w:lang w:val="en-US" w:eastAsia="zh-CN" w:bidi="ar"/>
        </w:rPr>
        <w:t>；</w:t>
      </w:r>
      <w:r>
        <w:rPr>
          <w:rFonts w:hint="default" w:ascii="Times New Roman" w:hAnsi="Times New Roman" w:eastAsia="楷体" w:cs="Times New Roman"/>
          <w:i w:val="0"/>
          <w:iCs w:val="0"/>
          <w:color w:val="000000"/>
          <w:kern w:val="0"/>
          <w:sz w:val="24"/>
          <w:szCs w:val="24"/>
          <w:u w:val="none"/>
          <w:lang w:val="en-US" w:eastAsia="zh-CN" w:bidi="ar"/>
        </w:rPr>
        <w:t>课程学习总学分必须≥17。</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七、</w:t>
      </w:r>
      <w:r>
        <w:rPr>
          <w:rFonts w:hint="default" w:ascii="黑体" w:hAnsi="黑体" w:eastAsia="黑体" w:cs="黑体"/>
          <w:b/>
          <w:bCs/>
          <w:i w:val="0"/>
          <w:iCs w:val="0"/>
          <w:color w:val="000000"/>
          <w:kern w:val="0"/>
          <w:sz w:val="28"/>
          <w:szCs w:val="28"/>
          <w:u w:val="none"/>
          <w:lang w:val="en-US" w:eastAsia="zh-CN" w:bidi="ar"/>
        </w:rPr>
        <w:t>学术成果要求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（一）</w:t>
      </w:r>
      <w:r>
        <w:rPr>
          <w:rFonts w:hint="default" w:ascii="Times New Roman" w:hAnsi="Times New Roman" w:eastAsia="楷体" w:cs="Times New Roman"/>
          <w:i w:val="0"/>
          <w:iCs w:val="0"/>
          <w:color w:val="000000"/>
          <w:kern w:val="0"/>
          <w:sz w:val="24"/>
          <w:szCs w:val="24"/>
          <w:u w:val="none"/>
          <w:lang w:val="en-US" w:eastAsia="zh-CN" w:bidi="ar"/>
        </w:rPr>
        <w:t>博士生申请学位论文答辩之前，必须在高水平国际学术会议上至少交流一次：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可为口头报告、墙报展示或论文摘要被接收；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会议可在境内或境外举办。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（二）</w:t>
      </w:r>
      <w:r>
        <w:rPr>
          <w:rFonts w:hint="default" w:ascii="Times New Roman" w:hAnsi="Times New Roman" w:eastAsia="楷体" w:cs="Times New Roman"/>
          <w:i w:val="0"/>
          <w:iCs w:val="0"/>
          <w:color w:val="000000"/>
          <w:kern w:val="0"/>
          <w:sz w:val="24"/>
          <w:szCs w:val="24"/>
          <w:u w:val="none"/>
          <w:lang w:val="en-US" w:eastAsia="zh-CN" w:bidi="ar"/>
        </w:rPr>
        <w:t>博士生申请学位论文答辩之前，必须满足下列条件之一：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至少发表2篇与学位论文主要内容相关的SSCI论文；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至少发表1篇与学位论文主要内容相关的SSCI论文和1篇与学位论文主要内容相关的CSSCI论文；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至少发表2篇与学位论文主要内容相关的CSSCI论文，其中1篇为相关研究领域的国内顶尖刊物论文；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w:t>
      </w:r>
      <w:r>
        <w:rPr>
          <w:rFonts w:hint="default" w:ascii="Times New Roman" w:hAnsi="Times New Roman" w:eastAsia="楷体" w:cs="Times New Roman"/>
          <w:i w:val="0"/>
          <w:iCs w:val="0"/>
          <w:color w:val="000000"/>
          <w:kern w:val="0"/>
          <w:sz w:val="24"/>
          <w:szCs w:val="24"/>
          <w:u w:val="none"/>
          <w:lang w:val="en-US" w:eastAsia="zh-CN" w:bidi="ar"/>
        </w:rPr>
        <w:t>至少发表3篇与学位论文主要内容相关的CSSCI论文。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更多详细规定请见《教育学院关于博士生学术论文发表的具体规定》</w:t>
      </w:r>
      <w:r>
        <w:rPr>
          <w:rFonts w:hint="eastAsia" w:ascii="Times New Roman" w:hAnsi="Times New Roman" w:eastAsia="楷体" w:cs="Times New Roman"/>
          <w:i w:val="0"/>
          <w:iCs w:val="0"/>
          <w:color w:val="000000"/>
          <w:kern w:val="0"/>
          <w:sz w:val="24"/>
          <w:szCs w:val="24"/>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r>
        <w:rPr>
          <w:rFonts w:hint="eastAsia" w:ascii="黑体" w:hAnsi="黑体" w:eastAsia="黑体" w:cs="黑体"/>
          <w:b/>
          <w:bCs/>
          <w:i w:val="0"/>
          <w:iCs w:val="0"/>
          <w:color w:val="000000"/>
          <w:kern w:val="0"/>
          <w:sz w:val="28"/>
          <w:szCs w:val="28"/>
          <w:u w:val="none"/>
          <w:lang w:val="en-US" w:eastAsia="zh-CN" w:bidi="ar"/>
        </w:rPr>
        <w:t>八、</w:t>
      </w:r>
      <w:r>
        <w:rPr>
          <w:rFonts w:hint="default" w:ascii="黑体" w:hAnsi="黑体" w:eastAsia="黑体" w:cs="黑体"/>
          <w:b/>
          <w:bCs/>
          <w:i w:val="0"/>
          <w:iCs w:val="0"/>
          <w:color w:val="000000"/>
          <w:kern w:val="0"/>
          <w:sz w:val="28"/>
          <w:szCs w:val="28"/>
          <w:u w:val="none"/>
          <w:lang w:val="en-US" w:eastAsia="zh-CN" w:bidi="ar"/>
        </w:rPr>
        <w:t xml:space="preserve">学位论文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default" w:ascii="Times New Roman" w:hAnsi="Times New Roman" w:eastAsia="楷体" w:cs="Times New Roman"/>
          <w:b/>
          <w:bCs/>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（一）</w:t>
      </w:r>
      <w:r>
        <w:rPr>
          <w:rFonts w:hint="default" w:ascii="Times New Roman" w:hAnsi="Times New Roman" w:eastAsia="楷体" w:cs="Times New Roman"/>
          <w:b/>
          <w:bCs/>
          <w:i w:val="0"/>
          <w:iCs w:val="0"/>
          <w:color w:val="000000"/>
          <w:kern w:val="0"/>
          <w:sz w:val="24"/>
          <w:szCs w:val="24"/>
          <w:u w:val="none"/>
          <w:lang w:val="en-US" w:eastAsia="zh-CN" w:bidi="ar"/>
        </w:rPr>
        <w:t xml:space="preserve">质量及内容要求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博士学位论文的选题应在国际上属于学科前沿领域或是对国家经济建设、科技进步和社会发展具有一定重要意义；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论文要突出在科学和专门技术上的创新性和先进性，并能表明作者掌握了本门学科的基础理论和系统深入的专门知识，具有独立从事科学研究工作的能力。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（二）</w:t>
      </w:r>
      <w:r>
        <w:rPr>
          <w:rFonts w:hint="default" w:ascii="Times New Roman" w:hAnsi="Times New Roman" w:eastAsia="楷体" w:cs="Times New Roman"/>
          <w:b/>
          <w:bCs/>
          <w:i w:val="0"/>
          <w:iCs w:val="0"/>
          <w:color w:val="000000"/>
          <w:kern w:val="0"/>
          <w:sz w:val="24"/>
          <w:szCs w:val="24"/>
          <w:u w:val="none"/>
          <w:lang w:val="en-US" w:eastAsia="zh-CN" w:bidi="ar"/>
        </w:rPr>
        <w:t>规范性要求</w:t>
      </w:r>
      <w:r>
        <w:rPr>
          <w:rFonts w:hint="default" w:ascii="Times New Roman" w:hAnsi="Times New Roman" w:eastAsia="楷体" w:cs="Times New Roman"/>
          <w:i w:val="0"/>
          <w:iCs w:val="0"/>
          <w:color w:val="000000"/>
          <w:kern w:val="0"/>
          <w:sz w:val="24"/>
          <w:szCs w:val="24"/>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 xml:space="preserve">博士学位论文一般要求正文不少于8万字。博士学位论文撰写格式按照《上海交通大学博士、硕士学位论文撰写指南》，学位论文答辩与学位申请按照《上海交通大学关于申请授予博士学位的规定》执行。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2"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b/>
          <w:bCs/>
          <w:i w:val="0"/>
          <w:iCs w:val="0"/>
          <w:color w:val="000000"/>
          <w:kern w:val="0"/>
          <w:sz w:val="24"/>
          <w:szCs w:val="24"/>
          <w:u w:val="none"/>
          <w:lang w:val="en-US" w:eastAsia="zh-CN" w:bidi="ar"/>
        </w:rPr>
        <w:t>（三）</w:t>
      </w:r>
      <w:r>
        <w:rPr>
          <w:rFonts w:hint="default" w:ascii="Times New Roman" w:hAnsi="Times New Roman" w:eastAsia="楷体" w:cs="Times New Roman"/>
          <w:b/>
          <w:bCs/>
          <w:i w:val="0"/>
          <w:iCs w:val="0"/>
          <w:color w:val="000000"/>
          <w:kern w:val="0"/>
          <w:sz w:val="24"/>
          <w:szCs w:val="24"/>
          <w:u w:val="none"/>
          <w:lang w:val="en-US" w:eastAsia="zh-CN" w:bidi="ar"/>
        </w:rPr>
        <w:t>学术伦理要求</w:t>
      </w:r>
      <w:r>
        <w:rPr>
          <w:rFonts w:hint="default" w:ascii="Times New Roman" w:hAnsi="Times New Roman" w:eastAsia="楷体" w:cs="Times New Roman"/>
          <w:i w:val="0"/>
          <w:iCs w:val="0"/>
          <w:color w:val="000000"/>
          <w:kern w:val="0"/>
          <w:sz w:val="24"/>
          <w:szCs w:val="24"/>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学位论文应依照学术规范，合理使用引文或引用他人成果，引用他人的成果不应构成本人研究成果的主要部分或核心部分；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引用他人的成果、观点、方案、资料、数据等，均应注明出处；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引文原则上应使用原始文献和第一手资料，凡转引他人成果，应注明转引出处；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w:t>
      </w:r>
      <w:r>
        <w:rPr>
          <w:rFonts w:hint="default" w:ascii="Times New Roman" w:hAnsi="Times New Roman" w:eastAsia="楷体" w:cs="Times New Roman"/>
          <w:i w:val="0"/>
          <w:iCs w:val="0"/>
          <w:color w:val="000000"/>
          <w:kern w:val="0"/>
          <w:sz w:val="24"/>
          <w:szCs w:val="24"/>
          <w:u w:val="none"/>
          <w:lang w:val="en-US" w:eastAsia="zh-CN" w:bidi="ar"/>
        </w:rPr>
        <w:t>不得剽窃、篡改、抄袭、侵占他人学术成果，不得伪造科研数据、资料、文献、注释或者捏造事实、编造虚假研究成果。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both"/>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更多详细规定请见《上海交通大学研究生学术规范》。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eastAsia" w:ascii="黑体" w:hAnsi="黑体" w:eastAsia="黑体" w:cs="黑体"/>
          <w:b/>
          <w:bCs/>
          <w:i w:val="0"/>
          <w:iCs w:val="0"/>
          <w:color w:val="000000"/>
          <w:kern w:val="0"/>
          <w:sz w:val="28"/>
          <w:szCs w:val="28"/>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after="157" w:afterLines="50"/>
        <w:jc w:val="both"/>
        <w:textAlignment w:val="center"/>
        <w:rPr>
          <w:rFonts w:hint="default" w:ascii="黑体" w:hAnsi="黑体" w:eastAsia="黑体" w:cs="黑体"/>
          <w:b/>
          <w:bCs/>
          <w:i w:val="0"/>
          <w:iCs w:val="0"/>
          <w:color w:val="000000"/>
          <w:kern w:val="0"/>
          <w:sz w:val="28"/>
          <w:szCs w:val="28"/>
          <w:u w:val="none"/>
          <w:lang w:val="en-US" w:eastAsia="zh-CN" w:bidi="ar"/>
        </w:rPr>
      </w:pPr>
      <w:bookmarkStart w:id="0" w:name="_GoBack"/>
      <w:bookmarkEnd w:id="0"/>
      <w:r>
        <w:rPr>
          <w:rFonts w:hint="eastAsia" w:ascii="黑体" w:hAnsi="黑体" w:eastAsia="黑体" w:cs="黑体"/>
          <w:b/>
          <w:bCs/>
          <w:i w:val="0"/>
          <w:iCs w:val="0"/>
          <w:color w:val="000000"/>
          <w:kern w:val="0"/>
          <w:sz w:val="28"/>
          <w:szCs w:val="28"/>
          <w:u w:val="none"/>
          <w:lang w:val="en-US" w:eastAsia="zh-CN" w:bidi="ar"/>
        </w:rPr>
        <w:t>九、</w:t>
      </w:r>
      <w:r>
        <w:rPr>
          <w:rFonts w:hint="default" w:ascii="黑体" w:hAnsi="黑体" w:eastAsia="黑体" w:cs="黑体"/>
          <w:b/>
          <w:bCs/>
          <w:i w:val="0"/>
          <w:iCs w:val="0"/>
          <w:color w:val="000000"/>
          <w:kern w:val="0"/>
          <w:sz w:val="28"/>
          <w:szCs w:val="28"/>
          <w:u w:val="none"/>
          <w:lang w:val="en-US" w:eastAsia="zh-CN" w:bidi="ar"/>
        </w:rPr>
        <w:t>课程设置</w:t>
      </w:r>
    </w:p>
    <w:tbl>
      <w:tblPr>
        <w:tblStyle w:val="4"/>
        <w:tblW w:w="4938" w:type="pct"/>
        <w:jc w:val="center"/>
        <w:shd w:val="clear" w:color="auto" w:fill="auto"/>
        <w:tblLayout w:type="autofit"/>
        <w:tblCellMar>
          <w:top w:w="0" w:type="dxa"/>
          <w:left w:w="108" w:type="dxa"/>
          <w:bottom w:w="0" w:type="dxa"/>
          <w:right w:w="108" w:type="dxa"/>
        </w:tblCellMar>
      </w:tblPr>
      <w:tblGrid>
        <w:gridCol w:w="1598"/>
        <w:gridCol w:w="3106"/>
        <w:gridCol w:w="914"/>
        <w:gridCol w:w="1770"/>
        <w:gridCol w:w="1022"/>
      </w:tblGrid>
      <w:tr>
        <w:tblPrEx>
          <w:shd w:val="clear" w:color="auto" w:fill="auto"/>
          <w:tblCellMar>
            <w:top w:w="0" w:type="dxa"/>
            <w:left w:w="108" w:type="dxa"/>
            <w:bottom w:w="0" w:type="dxa"/>
            <w:right w:w="108" w:type="dxa"/>
          </w:tblCellMar>
        </w:tblPrEx>
        <w:trPr>
          <w:trHeight w:val="848" w:hRule="atLeast"/>
          <w:jc w:val="center"/>
        </w:trPr>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课程类别</w:t>
            </w:r>
          </w:p>
        </w:tc>
        <w:tc>
          <w:tcPr>
            <w:tcW w:w="1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 xml:space="preserve">课程名称 </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学分</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开课学期</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b/>
                <w:bCs/>
                <w:i w:val="0"/>
                <w:iCs w:val="0"/>
                <w:color w:val="000000"/>
                <w:sz w:val="24"/>
                <w:szCs w:val="24"/>
                <w:u w:val="none"/>
              </w:rPr>
            </w:pPr>
            <w:r>
              <w:rPr>
                <w:rFonts w:hint="default" w:ascii="Times New Roman" w:hAnsi="Times New Roman" w:eastAsia="楷体" w:cs="Times New Roman"/>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932" w:hRule="atLeast"/>
          <w:jc w:val="center"/>
        </w:trPr>
        <w:tc>
          <w:tcPr>
            <w:tcW w:w="9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公共基础课</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eastAsia" w:ascii="Times New Roman" w:hAnsi="Times New Roman" w:eastAsia="楷体" w:cs="Times New Roman"/>
                <w:i w:val="0"/>
                <w:iCs w:val="0"/>
                <w:color w:val="000000"/>
                <w:kern w:val="0"/>
                <w:sz w:val="24"/>
                <w:szCs w:val="24"/>
                <w:u w:val="none"/>
                <w:lang w:val="en-US" w:eastAsia="zh-CN" w:bidi="ar"/>
              </w:rPr>
              <w:t>4学分</w:t>
            </w:r>
            <w:r>
              <w:rPr>
                <w:rFonts w:hint="default" w:ascii="Times New Roman" w:hAnsi="Times New Roman" w:eastAsia="楷体" w:cs="Times New Roman"/>
                <w:i w:val="0"/>
                <w:iCs w:val="0"/>
                <w:color w:val="000000"/>
                <w:kern w:val="0"/>
                <w:sz w:val="24"/>
                <w:szCs w:val="24"/>
                <w:u w:val="none"/>
                <w:lang w:val="en-US" w:eastAsia="zh-CN" w:bidi="ar"/>
              </w:rPr>
              <w:t xml:space="preserve"> </w:t>
            </w:r>
          </w:p>
        </w:tc>
        <w:tc>
          <w:tcPr>
            <w:tcW w:w="1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中国马克思主义与当代</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博一秋季学期</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833" w:hRule="atLeast"/>
          <w:jc w:val="center"/>
        </w:trPr>
        <w:tc>
          <w:tcPr>
            <w:tcW w:w="9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学术英语</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博一春季学期</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848" w:hRule="atLeast"/>
          <w:jc w:val="center"/>
        </w:trPr>
        <w:tc>
          <w:tcPr>
            <w:tcW w:w="9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专业基础课</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eastAsia" w:ascii="Times New Roman" w:hAnsi="Times New Roman" w:eastAsia="楷体" w:cs="Times New Roman"/>
                <w:i w:val="0"/>
                <w:iCs w:val="0"/>
                <w:color w:val="000000"/>
                <w:kern w:val="0"/>
                <w:sz w:val="24"/>
                <w:szCs w:val="24"/>
                <w:u w:val="none"/>
                <w:lang w:val="en-US" w:eastAsia="zh-CN" w:bidi="ar"/>
              </w:rPr>
              <w:t>11学分</w:t>
            </w:r>
            <w:r>
              <w:rPr>
                <w:rFonts w:hint="default" w:ascii="Times New Roman" w:hAnsi="Times New Roman" w:eastAsia="楷体" w:cs="Times New Roman"/>
                <w:i w:val="0"/>
                <w:iCs w:val="0"/>
                <w:color w:val="000000"/>
                <w:kern w:val="0"/>
                <w:sz w:val="24"/>
                <w:szCs w:val="24"/>
                <w:u w:val="none"/>
                <w:lang w:val="en-US" w:eastAsia="zh-CN" w:bidi="ar"/>
              </w:rPr>
              <w:t xml:space="preserve"> </w:t>
            </w:r>
          </w:p>
        </w:tc>
        <w:tc>
          <w:tcPr>
            <w:tcW w:w="1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大学教育教学专题研究</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博一秋季学期</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858" w:hRule="atLeast"/>
          <w:jc w:val="center"/>
        </w:trPr>
        <w:tc>
          <w:tcPr>
            <w:tcW w:w="9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院校研究与大学战略规划</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博一秋季学期</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888" w:hRule="atLeast"/>
          <w:jc w:val="center"/>
        </w:trPr>
        <w:tc>
          <w:tcPr>
            <w:tcW w:w="9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教育学领域的学术写作、</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规范与伦理</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博一秋季学期</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798" w:hRule="atLeast"/>
          <w:jc w:val="center"/>
        </w:trPr>
        <w:tc>
          <w:tcPr>
            <w:tcW w:w="9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楷体" w:cs="Times New Roman"/>
                <w:i w:val="0"/>
                <w:iCs w:val="0"/>
                <w:color w:val="000000"/>
                <w:sz w:val="24"/>
                <w:szCs w:val="24"/>
                <w:u w:val="none"/>
              </w:rPr>
            </w:pPr>
          </w:p>
        </w:tc>
        <w:tc>
          <w:tcPr>
            <w:tcW w:w="1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世界一流大学专题研究</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博一春季学期</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p>
        </w:tc>
      </w:tr>
      <w:tr>
        <w:tblPrEx>
          <w:tblCellMar>
            <w:top w:w="0" w:type="dxa"/>
            <w:left w:w="108" w:type="dxa"/>
            <w:bottom w:w="0" w:type="dxa"/>
            <w:right w:w="108" w:type="dxa"/>
          </w:tblCellMar>
        </w:tblPrEx>
        <w:trPr>
          <w:trHeight w:val="923" w:hRule="atLeast"/>
          <w:jc w:val="center"/>
        </w:trPr>
        <w:tc>
          <w:tcPr>
            <w:tcW w:w="9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专业前沿课</w:t>
            </w:r>
          </w:p>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eastAsia" w:ascii="Times New Roman" w:hAnsi="Times New Roman" w:eastAsia="楷体" w:cs="Times New Roman"/>
                <w:i w:val="0"/>
                <w:iCs w:val="0"/>
                <w:color w:val="000000"/>
                <w:kern w:val="0"/>
                <w:sz w:val="24"/>
                <w:szCs w:val="24"/>
                <w:u w:val="none"/>
                <w:lang w:val="en-US" w:eastAsia="zh-CN" w:bidi="ar"/>
              </w:rPr>
              <w:t>2学分</w:t>
            </w:r>
          </w:p>
        </w:tc>
        <w:tc>
          <w:tcPr>
            <w:tcW w:w="1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学术报告与研讨会</w:t>
            </w: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r>
              <w:rPr>
                <w:rFonts w:hint="default" w:ascii="Times New Roman" w:hAnsi="Times New Roman" w:eastAsia="楷体" w:cs="Times New Roman"/>
                <w:i w:val="0"/>
                <w:iCs w:val="0"/>
                <w:color w:val="000000"/>
                <w:kern w:val="0"/>
                <w:sz w:val="24"/>
                <w:szCs w:val="24"/>
                <w:u w:val="none"/>
                <w:lang w:val="en-US" w:eastAsia="zh-CN" w:bidi="ar"/>
              </w:rPr>
              <w:t>博二春季学期</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sz w:val="24"/>
                <w:szCs w:val="24"/>
                <w:u w:val="none"/>
              </w:rPr>
            </w:pPr>
          </w:p>
        </w:tc>
      </w:tr>
    </w:tbl>
    <w:p>
      <w:pPr>
        <w:numPr>
          <w:ilvl w:val="0"/>
          <w:numId w:val="0"/>
        </w:numPr>
        <w:ind w:leftChars="0"/>
        <w:rPr>
          <w:rFonts w:hint="default" w:ascii="Times New Roman" w:hAnsi="Times New Roman" w:eastAsia="楷体" w:cs="Times New Roman"/>
          <w:b/>
          <w:bCs/>
          <w:i w:val="0"/>
          <w:iCs w:val="0"/>
          <w:color w:val="000000"/>
          <w:kern w:val="0"/>
          <w:sz w:val="26"/>
          <w:szCs w:val="26"/>
          <w:u w:val="none"/>
          <w:lang w:val="en-US" w:eastAsia="zh-CN" w:bidi="ar"/>
        </w:rPr>
      </w:pPr>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6529B"/>
    <w:rsid w:val="041C4494"/>
    <w:rsid w:val="0AFC60FE"/>
    <w:rsid w:val="1101138F"/>
    <w:rsid w:val="1AFB0F01"/>
    <w:rsid w:val="1F8820B1"/>
    <w:rsid w:val="27042FCD"/>
    <w:rsid w:val="28787686"/>
    <w:rsid w:val="2D223BE9"/>
    <w:rsid w:val="37904B92"/>
    <w:rsid w:val="45554F98"/>
    <w:rsid w:val="4886501B"/>
    <w:rsid w:val="4E2C6DCC"/>
    <w:rsid w:val="51FD4859"/>
    <w:rsid w:val="522D3EB3"/>
    <w:rsid w:val="533E76A8"/>
    <w:rsid w:val="54BB09A5"/>
    <w:rsid w:val="59F0598C"/>
    <w:rsid w:val="5E4376BC"/>
    <w:rsid w:val="6F165F41"/>
    <w:rsid w:val="75241508"/>
    <w:rsid w:val="75745A90"/>
    <w:rsid w:val="771D1C39"/>
    <w:rsid w:val="7D7D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7000</dc:creator>
  <cp:lastModifiedBy>HH</cp:lastModifiedBy>
  <dcterms:modified xsi:type="dcterms:W3CDTF">2021-09-16T08:52:25Z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0618CCB256D74F82B7FDA34112E86BCE</vt:lpwstr>
  </property>
</Properties>
</file>