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336" w:lineRule="auto"/>
        <w:jc w:val="center"/>
        <w:rPr>
          <w:rFonts w:hint="default" w:ascii="Times New Roman" w:hAnsi="Times New Roman" w:eastAsia="黑体" w:cs="Times New Roman"/>
          <w:b/>
          <w:color w:val="000000"/>
          <w:kern w:val="0"/>
          <w:sz w:val="36"/>
          <w:szCs w:val="36"/>
          <w:lang w:bidi="ar"/>
        </w:rPr>
      </w:pPr>
      <w:r>
        <w:rPr>
          <w:rFonts w:hint="default" w:ascii="Times New Roman" w:hAnsi="Times New Roman" w:eastAsia="黑体" w:cs="Times New Roman"/>
          <w:b/>
          <w:color w:val="000000"/>
          <w:kern w:val="0"/>
          <w:sz w:val="36"/>
          <w:szCs w:val="36"/>
          <w:lang w:bidi="ar"/>
        </w:rPr>
        <w:t>上海交通大学教育学院</w:t>
      </w:r>
    </w:p>
    <w:p>
      <w:pPr>
        <w:widowControl/>
        <w:spacing w:line="336" w:lineRule="auto"/>
        <w:jc w:val="center"/>
        <w:rPr>
          <w:rFonts w:hint="default" w:ascii="Times New Roman" w:hAnsi="Times New Roman" w:eastAsia="黑体" w:cs="Times New Roman"/>
          <w:b/>
          <w:color w:val="000000"/>
          <w:kern w:val="0"/>
          <w:sz w:val="36"/>
          <w:szCs w:val="36"/>
          <w:lang w:bidi="ar"/>
        </w:rPr>
      </w:pPr>
      <w:r>
        <w:rPr>
          <w:rFonts w:hint="default" w:ascii="Times New Roman" w:hAnsi="Times New Roman" w:eastAsia="黑体" w:cs="Times New Roman"/>
          <w:b/>
          <w:color w:val="000000"/>
          <w:kern w:val="0"/>
          <w:sz w:val="36"/>
          <w:szCs w:val="36"/>
          <w:lang w:val="en-US" w:eastAsia="zh-CN" w:bidi="ar"/>
        </w:rPr>
        <w:t>2021级</w:t>
      </w:r>
      <w:r>
        <w:rPr>
          <w:rFonts w:hint="default" w:ascii="Times New Roman" w:hAnsi="Times New Roman" w:eastAsia="黑体" w:cs="Times New Roman"/>
          <w:b/>
          <w:color w:val="000000"/>
          <w:kern w:val="0"/>
          <w:sz w:val="36"/>
          <w:szCs w:val="36"/>
          <w:lang w:bidi="ar"/>
        </w:rPr>
        <w:t>教育硕士研究生培养方案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default" w:ascii="黑体" w:hAnsi="黑体" w:eastAsia="黑体" w:cs="黑体"/>
          <w:b/>
          <w:bCs/>
          <w:i w:val="0"/>
          <w:iCs w:val="0"/>
          <w:color w:val="000000"/>
          <w:kern w:val="0"/>
          <w:sz w:val="28"/>
          <w:szCs w:val="28"/>
          <w:u w:val="none"/>
          <w:lang w:val="en-US" w:eastAsia="zh-CN" w:bidi="ar"/>
        </w:rPr>
        <w:t xml:space="preserve">一、基本信息 </w:t>
      </w:r>
    </w:p>
    <w:tbl>
      <w:tblPr>
        <w:tblStyle w:val="7"/>
        <w:tblW w:w="4814" w:type="pct"/>
        <w:jc w:val="center"/>
        <w:shd w:val="clear" w:color="auto" w:fill="auto"/>
        <w:tblLayout w:type="fixed"/>
        <w:tblCellMar>
          <w:top w:w="0" w:type="dxa"/>
          <w:left w:w="108" w:type="dxa"/>
          <w:bottom w:w="0" w:type="dxa"/>
          <w:right w:w="108" w:type="dxa"/>
        </w:tblCellMar>
      </w:tblPr>
      <w:tblGrid>
        <w:gridCol w:w="1616"/>
        <w:gridCol w:w="802"/>
        <w:gridCol w:w="1990"/>
        <w:gridCol w:w="873"/>
        <w:gridCol w:w="1710"/>
        <w:gridCol w:w="1215"/>
      </w:tblGrid>
      <w:tr>
        <w:tblPrEx>
          <w:shd w:val="clear" w:color="auto" w:fill="auto"/>
          <w:tblCellMar>
            <w:top w:w="0" w:type="dxa"/>
            <w:left w:w="108" w:type="dxa"/>
            <w:bottom w:w="0" w:type="dxa"/>
            <w:right w:w="108" w:type="dxa"/>
          </w:tblCellMar>
        </w:tblPrEx>
        <w:trPr>
          <w:trHeight w:val="555" w:hRule="atLeast"/>
          <w:jc w:val="center"/>
        </w:trPr>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院 系 名 称</w:t>
            </w:r>
          </w:p>
        </w:tc>
        <w:tc>
          <w:tcPr>
            <w:tcW w:w="2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(350)教育学院</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适 用 年 级</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2021</w:t>
            </w:r>
          </w:p>
        </w:tc>
      </w:tr>
      <w:tr>
        <w:tblPrEx>
          <w:tblCellMar>
            <w:top w:w="0" w:type="dxa"/>
            <w:left w:w="108" w:type="dxa"/>
            <w:bottom w:w="0" w:type="dxa"/>
            <w:right w:w="108" w:type="dxa"/>
          </w:tblCellMar>
        </w:tblPrEx>
        <w:trPr>
          <w:trHeight w:val="555" w:hRule="atLeast"/>
          <w:jc w:val="center"/>
        </w:trPr>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适 用 专 业</w:t>
            </w:r>
          </w:p>
        </w:tc>
        <w:tc>
          <w:tcPr>
            <w:tcW w:w="40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FF0000"/>
                <w:sz w:val="24"/>
                <w:szCs w:val="24"/>
                <w:u w:val="none"/>
              </w:rPr>
            </w:pPr>
            <w:r>
              <w:rPr>
                <w:rFonts w:hint="default" w:ascii="Times New Roman" w:hAnsi="Times New Roman" w:eastAsia="楷体" w:cs="Times New Roman"/>
                <w:i w:val="0"/>
                <w:iCs w:val="0"/>
                <w:color w:val="FF0000"/>
                <w:kern w:val="0"/>
                <w:sz w:val="24"/>
                <w:szCs w:val="24"/>
                <w:u w:val="none"/>
                <w:lang w:val="en-US" w:eastAsia="zh-CN" w:bidi="ar"/>
              </w:rPr>
              <w:t>教育学(040100)</w:t>
            </w:r>
          </w:p>
        </w:tc>
      </w:tr>
      <w:tr>
        <w:tblPrEx>
          <w:tblCellMar>
            <w:top w:w="0" w:type="dxa"/>
            <w:left w:w="108" w:type="dxa"/>
            <w:bottom w:w="0" w:type="dxa"/>
            <w:right w:w="108" w:type="dxa"/>
          </w:tblCellMar>
        </w:tblPrEx>
        <w:trPr>
          <w:trHeight w:val="540" w:hRule="atLeast"/>
          <w:jc w:val="center"/>
        </w:trPr>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项 目 类 型</w:t>
            </w:r>
          </w:p>
        </w:tc>
        <w:tc>
          <w:tcPr>
            <w:tcW w:w="40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全日制硕士</w:t>
            </w:r>
          </w:p>
        </w:tc>
      </w:tr>
      <w:tr>
        <w:tblPrEx>
          <w:tblCellMar>
            <w:top w:w="0" w:type="dxa"/>
            <w:left w:w="108" w:type="dxa"/>
            <w:bottom w:w="0" w:type="dxa"/>
            <w:right w:w="108" w:type="dxa"/>
          </w:tblCellMar>
        </w:tblPrEx>
        <w:trPr>
          <w:trHeight w:val="600" w:hRule="atLeast"/>
          <w:jc w:val="center"/>
        </w:trPr>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 低 学 分</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36</w:t>
            </w:r>
          </w:p>
        </w:tc>
        <w:tc>
          <w:tcPr>
            <w:tcW w:w="1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最低GPA学分</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最低GPA</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lang w:val="en-US"/>
              </w:rPr>
            </w:pPr>
            <w:r>
              <w:rPr>
                <w:rFonts w:hint="default" w:ascii="Times New Roman" w:hAnsi="Times New Roman" w:eastAsia="楷体" w:cs="Times New Roman"/>
                <w:i w:val="0"/>
                <w:iCs w:val="0"/>
                <w:color w:val="000000"/>
                <w:kern w:val="0"/>
                <w:sz w:val="24"/>
                <w:szCs w:val="24"/>
                <w:u w:val="none"/>
                <w:lang w:val="en-US" w:eastAsia="zh-CN" w:bidi="ar"/>
              </w:rPr>
              <w:t>3</w:t>
            </w:r>
            <w:r>
              <w:rPr>
                <w:rFonts w:hint="eastAsia" w:ascii="Times New Roman" w:hAnsi="Times New Roman" w:eastAsia="楷体" w:cs="Times New Roman"/>
                <w:i w:val="0"/>
                <w:iCs w:val="0"/>
                <w:color w:val="000000"/>
                <w:kern w:val="0"/>
                <w:sz w:val="24"/>
                <w:szCs w:val="24"/>
                <w:u w:val="none"/>
                <w:lang w:val="en-US" w:eastAsia="zh-CN" w:bidi="ar"/>
              </w:rPr>
              <w:t>.0</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 xml:space="preserve">二、学科简介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教育硕士专业学位是具有教育职业背景的专业性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3+3培养模式”：“教育学院+学科学院+实践基地”三方课程贯通，教育学导师、学科导师和实践导师组成的三导师团队协同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本学位点培养目标明确、专业特色突出，课程涵盖教育学专业核心课程、学科教育、心理健康、未来教育、艺术教育和实践教学六大模块，为学生提供丰富的实践教学与反思的机会。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三、</w:t>
      </w:r>
      <w:r>
        <w:rPr>
          <w:rFonts w:hint="default" w:ascii="黑体" w:hAnsi="黑体" w:eastAsia="黑体" w:cs="黑体"/>
          <w:b/>
          <w:bCs/>
          <w:i w:val="0"/>
          <w:iCs w:val="0"/>
          <w:color w:val="000000"/>
          <w:kern w:val="0"/>
          <w:sz w:val="28"/>
          <w:szCs w:val="28"/>
          <w:u w:val="none"/>
          <w:lang w:val="en-US" w:eastAsia="zh-CN" w:bidi="ar"/>
        </w:rPr>
        <w:t>培养目标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为了培养社会主义建设者和接班人，建设有理想信念、有道德情操、有扎实学识、有仁爱之心的基础教育教师队伍，教育学院依托高水平综合性研究型大学的优势，培养拥有教育理想和热忱、具有多学科和国际化视野、专业基础扎实、教学技能突出、科学素养良好、具备教育研究能力的高水平中学学科教师和管理者。具体要求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（一）热爱祖国，拥护中国共产党的领导；热爱教育事业，以立德树人、教书育人为己任，忠诚于人民的教育事业。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（二）立足本土文化，厚植家国情怀，具有广阔的国际视野和开放的教育理念，成长为面向世界、面向未来的新时代教师。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（三）具备从事学科教学的必要专业基础，有较好的文化素养，掌握系统的专业知识和专业技能。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（四）了解学科前沿和发展趋势，具有良好的教育科研素养和研究能力，能够发挥自身优势，创造性地开展教育教学研究工作。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（五）关注整合性知识的运用，培养跨学科意识，拓展学科边界，提升跨界生长的专业能力，能够肩负发展学生核心素养的使命。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（六）领会课程改革精神，掌握基础教育课程改革的理念、内容和方法，成为课程研究、开发、实施和评价的主体。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四、培养方式及学习年限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基本学习年限为2.5年，培养年限最长不超过3.5年。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（一）理论与实践相结合，在教学过程中注重运用案例教学、研讨式授课、模拟教学、情景教学等多种教学方法。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（二）利用互联网等现代教学技术手段，开展课内与课外、线上与线下相结合的混合式教学。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（三）浸润式的教育实践，提供全方位、多元化的实习机会，促使学生获得学科教学技能，发展实践反思和行动研究的能力。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ascii="Times New Roman" w:hAnsi="Times New Roman" w:cs="Times New Roman" w:eastAsiaTheme="minorEastAsia"/>
          <w:w w:val="105"/>
        </w:rPr>
      </w:pPr>
      <w:r>
        <w:rPr>
          <w:rFonts w:hint="eastAsia" w:ascii="Times New Roman" w:hAnsi="Times New Roman" w:eastAsia="楷体" w:cs="Times New Roman"/>
          <w:i w:val="0"/>
          <w:iCs w:val="0"/>
          <w:color w:val="000000"/>
          <w:kern w:val="0"/>
          <w:sz w:val="24"/>
          <w:szCs w:val="24"/>
          <w:u w:val="none"/>
          <w:lang w:val="en-US" w:eastAsia="zh-CN" w:bidi="ar"/>
        </w:rPr>
        <w:t>（四）实行“三导师制”，构建由教育学导师、学科导师、实践导师共同参与的三导师指导体系，共同承担实践教学和学位论文的指导工作。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五、课程学习要求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（一）结构及学分要求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进入答辩资格审核环节前至少应完成36学分。其中，公共基础课5学分，专业核心课7学分，学科教育6学分，实践教学8学分，心理健康4学分，未来教育2学分，艺术教育2学分，兴趣选修2学分。具体课程与相应学分如下：</w:t>
      </w:r>
    </w:p>
    <w:tbl>
      <w:tblPr>
        <w:tblStyle w:val="7"/>
        <w:tblW w:w="835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2"/>
        <w:gridCol w:w="2756"/>
        <w:gridCol w:w="929"/>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tblHeader/>
          <w:jc w:val="center"/>
        </w:trPr>
        <w:tc>
          <w:tcPr>
            <w:tcW w:w="2122" w:type="dxa"/>
            <w:vAlign w:val="center"/>
          </w:tcPr>
          <w:p>
            <w:pPr>
              <w:pStyle w:val="2"/>
              <w:ind w:lef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课程模块</w:t>
            </w:r>
          </w:p>
        </w:tc>
        <w:tc>
          <w:tcPr>
            <w:tcW w:w="2756" w:type="dxa"/>
            <w:vAlign w:val="center"/>
          </w:tcPr>
          <w:p>
            <w:pPr>
              <w:pStyle w:val="2"/>
              <w:ind w:lef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课程名称</w:t>
            </w:r>
          </w:p>
        </w:tc>
        <w:tc>
          <w:tcPr>
            <w:tcW w:w="929" w:type="dxa"/>
            <w:vAlign w:val="center"/>
          </w:tcPr>
          <w:p>
            <w:pPr>
              <w:pStyle w:val="2"/>
              <w:ind w:lef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学分</w:t>
            </w:r>
          </w:p>
        </w:tc>
        <w:tc>
          <w:tcPr>
            <w:tcW w:w="2552" w:type="dxa"/>
            <w:vAlign w:val="center"/>
          </w:tcPr>
          <w:p>
            <w:pPr>
              <w:pStyle w:val="2"/>
              <w:ind w:lef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开课学期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restart"/>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公共基础</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（必修5学分）</w:t>
            </w:r>
          </w:p>
        </w:tc>
        <w:tc>
          <w:tcPr>
            <w:tcW w:w="2756" w:type="dxa"/>
            <w:vAlign w:val="center"/>
          </w:tcPr>
          <w:p>
            <w:pPr>
              <w:pStyle w:val="2"/>
              <w:ind w:left="0" w:firstLine="120" w:firstLineChars="5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学术英语</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w:t>
            </w:r>
            <w:r>
              <w:rPr>
                <w:rFonts w:hint="default" w:ascii="Times New Roman" w:hAnsi="Times New Roman" w:eastAsia="楷体" w:cs="Times New Roman"/>
                <w:sz w:val="24"/>
                <w:szCs w:val="24"/>
                <w:lang w:val="en-US" w:eastAsia="zh-CN"/>
              </w:rPr>
              <w:t>春</w:t>
            </w:r>
            <w:r>
              <w:rPr>
                <w:rFonts w:hint="default" w:ascii="Times New Roman" w:hAnsi="Times New Roman" w:eastAsia="楷体" w:cs="Times New Roman"/>
                <w:sz w:val="24"/>
                <w:szCs w:val="24"/>
              </w:rPr>
              <w:t>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blHeader/>
          <w:jc w:val="center"/>
        </w:trPr>
        <w:tc>
          <w:tcPr>
            <w:tcW w:w="2122" w:type="dxa"/>
            <w:vMerge w:val="continue"/>
            <w:vAlign w:val="center"/>
          </w:tcPr>
          <w:p>
            <w:pPr>
              <w:pStyle w:val="2"/>
              <w:ind w:left="0"/>
              <w:jc w:val="center"/>
              <w:rPr>
                <w:rFonts w:hint="default" w:ascii="Times New Roman" w:hAnsi="Times New Roman" w:eastAsia="楷体" w:cs="Times New Roman"/>
                <w:sz w:val="24"/>
                <w:szCs w:val="24"/>
              </w:rPr>
            </w:pPr>
          </w:p>
        </w:tc>
        <w:tc>
          <w:tcPr>
            <w:tcW w:w="2756" w:type="dxa"/>
            <w:vAlign w:val="center"/>
          </w:tcPr>
          <w:p>
            <w:pPr>
              <w:pStyle w:val="2"/>
              <w:ind w:left="0" w:firstLine="120" w:firstLineChars="5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中国特色社会主义理论与实践研究</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研一春季学期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ind w:left="0"/>
              <w:jc w:val="center"/>
              <w:rPr>
                <w:rFonts w:hint="default" w:ascii="Times New Roman" w:hAnsi="Times New Roman" w:eastAsia="楷体" w:cs="Times New Roman"/>
                <w:sz w:val="24"/>
                <w:szCs w:val="24"/>
              </w:rPr>
            </w:pPr>
          </w:p>
        </w:tc>
        <w:tc>
          <w:tcPr>
            <w:tcW w:w="2756" w:type="dxa"/>
            <w:vAlign w:val="center"/>
          </w:tcPr>
          <w:p>
            <w:pPr>
              <w:pStyle w:val="2"/>
              <w:ind w:left="0" w:firstLine="120" w:firstLineChars="5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自然辩证法概论</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1</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研一春季学期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restart"/>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专业核心模块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（必修7学分）</w:t>
            </w:r>
          </w:p>
        </w:tc>
        <w:tc>
          <w:tcPr>
            <w:tcW w:w="2756" w:type="dxa"/>
            <w:vAlign w:val="center"/>
          </w:tcPr>
          <w:p>
            <w:pPr>
              <w:pStyle w:val="2"/>
              <w:ind w:left="0" w:firstLine="120" w:firstLineChars="5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教育伦理与社会责任</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1</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ind w:left="0"/>
              <w:jc w:val="center"/>
              <w:rPr>
                <w:rFonts w:hint="default" w:ascii="Times New Roman" w:hAnsi="Times New Roman" w:eastAsia="楷体" w:cs="Times New Roman"/>
                <w:sz w:val="24"/>
                <w:szCs w:val="24"/>
              </w:rPr>
            </w:pPr>
          </w:p>
        </w:tc>
        <w:tc>
          <w:tcPr>
            <w:tcW w:w="2756" w:type="dxa"/>
            <w:vAlign w:val="center"/>
          </w:tcPr>
          <w:p>
            <w:pPr>
              <w:pStyle w:val="2"/>
              <w:ind w:left="0" w:firstLine="120" w:firstLineChars="5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教育原理</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jc w:val="center"/>
              <w:rPr>
                <w:rFonts w:hint="default" w:ascii="Times New Roman" w:hAnsi="Times New Roman" w:eastAsia="楷体" w:cs="Times New Roman"/>
                <w:sz w:val="24"/>
                <w:szCs w:val="24"/>
              </w:rPr>
            </w:pP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课程与教学论</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jc w:val="center"/>
              <w:rPr>
                <w:rFonts w:hint="default" w:ascii="Times New Roman" w:hAnsi="Times New Roman" w:eastAsia="楷体" w:cs="Times New Roman"/>
                <w:sz w:val="24"/>
                <w:szCs w:val="24"/>
              </w:rPr>
            </w:pP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教育研究方法</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restart"/>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学科教育模块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（必修6学分）</w:t>
            </w: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学科教学法</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jc w:val="center"/>
              <w:rPr>
                <w:rFonts w:hint="default" w:ascii="Times New Roman" w:hAnsi="Times New Roman" w:eastAsia="楷体" w:cs="Times New Roman"/>
                <w:sz w:val="24"/>
                <w:szCs w:val="24"/>
              </w:rPr>
            </w:pP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学科研究方法</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w:t>
            </w:r>
            <w:r>
              <w:rPr>
                <w:rFonts w:hint="default" w:ascii="Times New Roman" w:hAnsi="Times New Roman" w:eastAsia="楷体" w:cs="Times New Roman"/>
                <w:sz w:val="24"/>
                <w:szCs w:val="24"/>
                <w:lang w:val="en-US" w:eastAsia="zh-CN"/>
              </w:rPr>
              <w:t>秋季、春季</w:t>
            </w:r>
            <w:r>
              <w:rPr>
                <w:rFonts w:hint="default" w:ascii="Times New Roman" w:hAnsi="Times New Roman" w:eastAsia="楷体" w:cs="Times New Roman"/>
                <w:sz w:val="24"/>
                <w:szCs w:val="24"/>
              </w:rPr>
              <w:t>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jc w:val="center"/>
              <w:rPr>
                <w:rFonts w:hint="default" w:ascii="Times New Roman" w:hAnsi="Times New Roman" w:eastAsia="楷体" w:cs="Times New Roman"/>
                <w:sz w:val="24"/>
                <w:szCs w:val="24"/>
              </w:rPr>
            </w:pP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学科前沿</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w:t>
            </w:r>
            <w:r>
              <w:rPr>
                <w:rFonts w:hint="default" w:ascii="Times New Roman" w:hAnsi="Times New Roman" w:eastAsia="楷体" w:cs="Times New Roman"/>
                <w:sz w:val="24"/>
                <w:szCs w:val="24"/>
                <w:lang w:val="en-US" w:eastAsia="zh-CN"/>
              </w:rPr>
              <w:t>秋季、春季</w:t>
            </w:r>
            <w:r>
              <w:rPr>
                <w:rFonts w:hint="default" w:ascii="Times New Roman" w:hAnsi="Times New Roman" w:eastAsia="楷体" w:cs="Times New Roman"/>
                <w:sz w:val="24"/>
                <w:szCs w:val="24"/>
              </w:rPr>
              <w:t>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restart"/>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实践教学模块</w:t>
            </w:r>
          </w:p>
          <w:p>
            <w:pPr>
              <w:pStyle w:val="2"/>
              <w:ind w:left="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（必修8学分）</w:t>
            </w:r>
          </w:p>
        </w:tc>
        <w:tc>
          <w:tcPr>
            <w:tcW w:w="2756" w:type="dxa"/>
            <w:vAlign w:val="center"/>
          </w:tcPr>
          <w:p>
            <w:pPr>
              <w:pStyle w:val="2"/>
              <w:ind w:left="12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校内实训</w:t>
            </w:r>
          </w:p>
        </w:tc>
        <w:tc>
          <w:tcPr>
            <w:tcW w:w="929" w:type="dxa"/>
            <w:vAlign w:val="center"/>
          </w:tcPr>
          <w:p>
            <w:pPr>
              <w:pStyle w:val="2"/>
              <w:ind w:left="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研一春季学期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ind w:left="0" w:leftChars="0"/>
              <w:jc w:val="center"/>
              <w:rPr>
                <w:rFonts w:hint="default" w:ascii="Times New Roman" w:hAnsi="Times New Roman" w:eastAsia="楷体" w:cs="Times New Roman"/>
                <w:sz w:val="24"/>
                <w:szCs w:val="24"/>
              </w:rPr>
            </w:pPr>
          </w:p>
        </w:tc>
        <w:tc>
          <w:tcPr>
            <w:tcW w:w="2756" w:type="dxa"/>
            <w:vAlign w:val="center"/>
          </w:tcPr>
          <w:p>
            <w:pPr>
              <w:pStyle w:val="2"/>
              <w:ind w:left="12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校外实践（高水平中学）</w:t>
            </w:r>
          </w:p>
        </w:tc>
        <w:tc>
          <w:tcPr>
            <w:tcW w:w="929" w:type="dxa"/>
            <w:vAlign w:val="center"/>
          </w:tcPr>
          <w:p>
            <w:pPr>
              <w:pStyle w:val="2"/>
              <w:ind w:left="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6</w:t>
            </w:r>
          </w:p>
        </w:tc>
        <w:tc>
          <w:tcPr>
            <w:tcW w:w="2552" w:type="dxa"/>
            <w:vAlign w:val="center"/>
          </w:tcPr>
          <w:p>
            <w:pPr>
              <w:pStyle w:val="2"/>
              <w:ind w:left="0" w:leftChars="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研二秋季、春季学期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restart"/>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心理健康模块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（必修4学分）</w:t>
            </w: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青少年心理发展与教育</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Merge w:val="continue"/>
            <w:vAlign w:val="center"/>
          </w:tcPr>
          <w:p>
            <w:pPr>
              <w:pStyle w:val="2"/>
              <w:jc w:val="center"/>
              <w:rPr>
                <w:rFonts w:hint="default" w:ascii="Times New Roman" w:hAnsi="Times New Roman" w:eastAsia="楷体" w:cs="Times New Roman"/>
                <w:sz w:val="24"/>
                <w:szCs w:val="24"/>
              </w:rPr>
            </w:pP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心理健康促进</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w:t>
            </w:r>
            <w:r>
              <w:rPr>
                <w:rFonts w:hint="default" w:ascii="Times New Roman" w:hAnsi="Times New Roman" w:eastAsia="楷体" w:cs="Times New Roman"/>
                <w:sz w:val="24"/>
                <w:szCs w:val="24"/>
                <w:lang w:val="en-US" w:eastAsia="zh-CN"/>
              </w:rPr>
              <w:t>春季</w:t>
            </w:r>
            <w:r>
              <w:rPr>
                <w:rFonts w:hint="default" w:ascii="Times New Roman" w:hAnsi="Times New Roman" w:eastAsia="楷体" w:cs="Times New Roman"/>
                <w:sz w:val="24"/>
                <w:szCs w:val="24"/>
              </w:rPr>
              <w:t>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blHeader/>
          <w:jc w:val="center"/>
        </w:trPr>
        <w:tc>
          <w:tcPr>
            <w:tcW w:w="212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未来教育模块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（必修2学分）</w:t>
            </w: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未来教育</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研一秋季学期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艺术教育模块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（必修2学分）</w:t>
            </w: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艺术教育</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研一春季学期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blHeader/>
          <w:jc w:val="center"/>
        </w:trPr>
        <w:tc>
          <w:tcPr>
            <w:tcW w:w="212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兴趣选修模块</w:t>
            </w:r>
          </w:p>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（选修≥2学分）</w:t>
            </w:r>
          </w:p>
        </w:tc>
        <w:tc>
          <w:tcPr>
            <w:tcW w:w="2756" w:type="dxa"/>
            <w:vAlign w:val="center"/>
          </w:tcPr>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兴趣选修课</w:t>
            </w:r>
          </w:p>
          <w:p>
            <w:pPr>
              <w:pStyle w:val="2"/>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（至少选1门）</w:t>
            </w:r>
          </w:p>
        </w:tc>
        <w:tc>
          <w:tcPr>
            <w:tcW w:w="929"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w:t>
            </w:r>
          </w:p>
        </w:tc>
        <w:tc>
          <w:tcPr>
            <w:tcW w:w="2552" w:type="dxa"/>
            <w:vAlign w:val="center"/>
          </w:tcPr>
          <w:p>
            <w:pPr>
              <w:pStyle w:val="2"/>
              <w:ind w:left="0"/>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研一</w:t>
            </w:r>
            <w:r>
              <w:rPr>
                <w:rFonts w:hint="default" w:ascii="Times New Roman" w:hAnsi="Times New Roman" w:eastAsia="楷体" w:cs="Times New Roman"/>
                <w:sz w:val="24"/>
                <w:szCs w:val="24"/>
                <w:lang w:val="en-US" w:eastAsia="zh-CN"/>
              </w:rPr>
              <w:t>秋季、春季</w:t>
            </w:r>
            <w:r>
              <w:rPr>
                <w:rFonts w:hint="default" w:ascii="Times New Roman" w:hAnsi="Times New Roman" w:eastAsia="楷体" w:cs="Times New Roman"/>
                <w:sz w:val="24"/>
                <w:szCs w:val="24"/>
              </w:rPr>
              <w:t>学期</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（二）学术报告会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ascii="Times New Roman" w:hAnsi="Times New Roman" w:cs="Times New Roman" w:eastAsiaTheme="minorEastAsia"/>
          <w:spacing w:val="-7"/>
        </w:rPr>
      </w:pPr>
      <w:r>
        <w:rPr>
          <w:rFonts w:hint="eastAsia" w:ascii="Times New Roman" w:hAnsi="Times New Roman" w:eastAsia="楷体" w:cs="Times New Roman"/>
          <w:i w:val="0"/>
          <w:iCs w:val="0"/>
          <w:color w:val="000000"/>
          <w:kern w:val="0"/>
          <w:sz w:val="24"/>
          <w:szCs w:val="24"/>
          <w:u w:val="none"/>
          <w:lang w:val="en-US" w:eastAsia="zh-CN" w:bidi="ar"/>
        </w:rPr>
        <w:t>在学期间，应至少参加10次高水平学术报告、学科前沿讲座，学院将记录学生参加学术活动的考勤和听后感。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 xml:space="preserve">六、培养过程要求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723" w:firstLineChars="3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(一) 实践教学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实践教学包括校内实训和校外实践。其中，校内实训包括教学技能训练与展示（1学分）、微格教学（1学分）；校外实践包括教育见习（1学分）、教育实习（4学分）和教育研习（1学分）。实践教学时间原则上不少于1年，其中到中学进行实践活动的时间不少于1学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教学技能训练与展示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教学技能训练包含教学设计技能、课堂教学技能、教学评价与反思三方面，覆盖教学的各个环节。教学展示依托院级或以上教学技能大赛，学生设计并展示一节完整的课。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微格教学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在观摩微格教学片的过程中，先由试讲人进行自我反馈，检验实践过程是否达到设定的目标。指导教师应给予必要的评价与反馈，鼓励学生进行讨论，分析存在的问题和提升空间。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教育见习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在学院统一组织下，赴上海交通大学合作的教育实践基地开展见习。见习从观察校园文化开始，熟悉学校的传统、校风、学风和各种规章制度；进入课堂观摩教学，了解高中阶段学生的学习特点。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教育实习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实习生赴教育实习单位保质保量地完成教学和班主任实习工作，开展听课、助教、教学设计、试教、定岗授课等活动。在学校导师的指导下，提升教学技能和班级管理能力。</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教育研习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学生结合教育实习实践，开展关于班级与课堂管理、学科课程与教学等问题的课题研究。在教育学导师、学科导师、实践导师的指导下，开展教育教学课题研究，撰写学位论文。</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（二）学位论文开题、中期检查、预答辩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1. 开题报告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教育硕士研究生应于第三学期初进行学位论文开题答辩。申请学位论文开题前应修满30个学分。具体按照《硕士研究生学位论文开题报告实施细则》执行。</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中期检查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教育硕士研究生应于第四学期初进行中期检查答辩，汇报课程学习、实习实践、学位论文等方面工作进展。具体按照《硕士研究生学位论文中期检查实施细则》执行。</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0" w:leftChars="0" w:firstLine="482" w:firstLineChars="200"/>
        <w:jc w:val="both"/>
        <w:textAlignment w:val="center"/>
        <w:rPr>
          <w:rFonts w:hint="eastAsia"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预答辩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ascii="Times New Roman" w:hAnsi="Times New Roman" w:cs="Times New Roman" w:eastAsiaTheme="minorEastAsia"/>
        </w:rPr>
      </w:pPr>
      <w:r>
        <w:rPr>
          <w:rFonts w:hint="eastAsia" w:ascii="Times New Roman" w:hAnsi="Times New Roman" w:eastAsia="楷体" w:cs="Times New Roman"/>
          <w:i w:val="0"/>
          <w:iCs w:val="0"/>
          <w:color w:val="000000"/>
          <w:kern w:val="0"/>
          <w:sz w:val="24"/>
          <w:szCs w:val="24"/>
          <w:u w:val="none"/>
          <w:lang w:val="en-US" w:eastAsia="zh-CN"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七、学术成果要求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Times New Roman"/>
          <w:b/>
          <w:bCs/>
          <w:sz w:val="28"/>
          <w:lang w:val="en-US" w:eastAsia="zh-CN"/>
        </w:rPr>
      </w:pPr>
      <w:r>
        <w:rPr>
          <w:rFonts w:hint="eastAsia" w:ascii="黑体" w:hAnsi="黑体" w:eastAsia="黑体" w:cs="Times New Roman"/>
          <w:b/>
          <w:bCs/>
          <w:sz w:val="28"/>
          <w:lang w:val="en-US" w:eastAsia="zh-CN"/>
        </w:rPr>
        <w:t xml:space="preserve">   </w:t>
      </w:r>
      <w:r>
        <w:rPr>
          <w:rFonts w:hint="eastAsia" w:ascii="Times New Roman" w:hAnsi="Times New Roman" w:eastAsia="楷体" w:cs="Times New Roman"/>
          <w:i w:val="0"/>
          <w:iCs w:val="0"/>
          <w:color w:val="000000"/>
          <w:kern w:val="0"/>
          <w:sz w:val="24"/>
          <w:szCs w:val="24"/>
          <w:u w:val="none"/>
          <w:lang w:val="en-US" w:eastAsia="zh-CN" w:bidi="ar"/>
        </w:rPr>
        <w:t>鼓励硕士研究生在权威学术刊物上公开发表高质量学术论文，但是否公开发表论文不作为取得答辩资格的先决条件。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 xml:space="preserve">八、学位论文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学生须在导师指导下独立完成一篇教育硕士专业学位论文。具体要求如下：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（一）学位论文选题应与本专业领域培养目标相一致，来源于基础教育的教育、教学和学校管理的实际问题。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（二）学位论文应符合研究规范并凸显应用价值，论文的形式可以多样化，如专题研究论文、调查研究报告、实验研究报告和案例研究报告等。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（三）论文撰写必须在较扎实的专业理论基础之上进行，应广泛并有针对性地吸收国内外关于所研究题目的研究成果。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inorEastAsia"/>
        </w:rPr>
      </w:pPr>
      <w:r>
        <w:rPr>
          <w:rFonts w:hint="eastAsia" w:ascii="Times New Roman" w:hAnsi="Times New Roman" w:eastAsia="楷体" w:cs="Times New Roman"/>
          <w:i w:val="0"/>
          <w:iCs w:val="0"/>
          <w:color w:val="000000"/>
          <w:kern w:val="0"/>
          <w:sz w:val="24"/>
          <w:szCs w:val="24"/>
          <w:u w:val="none"/>
          <w:lang w:val="en-US" w:eastAsia="zh-CN" w:bidi="ar"/>
        </w:rPr>
        <w:t>（四）论文应做到体例结构规范，方法科学、合理，观点明确，阐述准确、清晰，并有一定的创造性。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九、</w:t>
      </w:r>
      <w:r>
        <w:rPr>
          <w:rFonts w:hint="default" w:ascii="黑体" w:hAnsi="黑体" w:eastAsia="黑体" w:cs="黑体"/>
          <w:b/>
          <w:bCs/>
          <w:i w:val="0"/>
          <w:iCs w:val="0"/>
          <w:color w:val="000000"/>
          <w:kern w:val="0"/>
          <w:sz w:val="28"/>
          <w:szCs w:val="28"/>
          <w:u w:val="none"/>
          <w:lang w:val="en-US" w:eastAsia="zh-CN" w:bidi="ar"/>
        </w:rPr>
        <w:t xml:space="preserve">课程设置 </w:t>
      </w:r>
    </w:p>
    <w:tbl>
      <w:tblPr>
        <w:tblStyle w:val="7"/>
        <w:tblW w:w="51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2"/>
        <w:gridCol w:w="2680"/>
        <w:gridCol w:w="720"/>
        <w:gridCol w:w="262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1" w:hRule="atLeast"/>
          <w:jc w:val="center"/>
        </w:trPr>
        <w:tc>
          <w:tcPr>
            <w:tcW w:w="816"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课程类别</w:t>
            </w: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课程名称</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学分</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lang w:val="en-US"/>
              </w:rPr>
            </w:pPr>
            <w:r>
              <w:rPr>
                <w:rFonts w:hint="eastAsia" w:ascii="Times New Roman" w:hAnsi="Times New Roman" w:eastAsia="楷体" w:cs="Times New Roman"/>
                <w:b/>
                <w:bCs/>
                <w:i w:val="0"/>
                <w:iCs w:val="0"/>
                <w:color w:val="000000"/>
                <w:kern w:val="0"/>
                <w:sz w:val="24"/>
                <w:szCs w:val="24"/>
                <w:u w:val="none"/>
                <w:lang w:val="en-US" w:eastAsia="zh-CN" w:bidi="ar"/>
              </w:rPr>
              <w:t>开课学期</w:t>
            </w:r>
          </w:p>
        </w:tc>
        <w:tc>
          <w:tcPr>
            <w:tcW w:w="722"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eastAsia" w:ascii="Times New Roman" w:hAnsi="Times New Roman" w:eastAsia="楷体" w:cs="Times New Roman"/>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公共基础课</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eastAsia" w:ascii="Times New Roman" w:hAnsi="Times New Roman" w:eastAsia="楷体" w:cs="Times New Roman"/>
                <w:i w:val="0"/>
                <w:iCs w:val="0"/>
                <w:color w:val="000000"/>
                <w:kern w:val="0"/>
                <w:sz w:val="24"/>
                <w:szCs w:val="24"/>
                <w:u w:val="none"/>
                <w:lang w:val="en-US" w:eastAsia="zh-CN" w:bidi="ar"/>
              </w:rPr>
              <w:t>5学分</w:t>
            </w:r>
            <w:r>
              <w:rPr>
                <w:rFonts w:hint="default" w:ascii="Times New Roman" w:hAnsi="Times New Roman" w:eastAsia="楷体" w:cs="Times New Roman"/>
                <w:i w:val="0"/>
                <w:iCs w:val="0"/>
                <w:color w:val="000000"/>
                <w:kern w:val="0"/>
                <w:sz w:val="24"/>
                <w:szCs w:val="24"/>
                <w:u w:val="none"/>
                <w:lang w:val="en-US" w:eastAsia="zh-CN" w:bidi="ar"/>
              </w:rPr>
              <w:t xml:space="preserve"> </w:t>
            </w: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学术英语</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新时代中国特色社会主义理论与实践</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自然辩证法概论</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 xml:space="preserve">专业基础课 </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23学分</w:t>
            </w: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教育伦理与社会责任</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教育原理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课程与教学论</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教育研究方法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学科教学法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青少年心理发展与教育</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未来教育</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学校心理健康与辅导</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校内实训</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教育见习</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研二秋季学期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教育实习</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4</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研二秋春学期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教育研习</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研二春季学期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 xml:space="preserve">专业前沿课 </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≥6学分</w:t>
            </w: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中国音乐文化史</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最少1门</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最低2分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西方音乐文化史</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中国语言文学基础</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与前沿</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语文方向必修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中国语言文学研究方法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语文方向必修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西方哲学史</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思想政治方向必修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学术写作、规范与伦理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思想政治方向必修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语言习得</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英语方向必修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应用语言学研究方法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英语方向必修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化学前沿专题：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新能源化学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化学前沿专题：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材料化学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综合化学实验</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生命科学前沿：脑科学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生物方向选修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生物方向学生至少选2门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生命科学前沿：</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基因编辑</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生物方向选修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生命科学前沿：</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合成生物学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生物方向选修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中学生物学实验</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教学方法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生物方向必修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数学分析原理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数学方向选修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数学方向学生至少选1门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数学的天空</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数学方向选修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数学实验</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数学方向必修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（天文类）：恒星和</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星系</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物理方向</w:t>
            </w:r>
            <w:r>
              <w:rPr>
                <w:rFonts w:hint="eastAsia" w:ascii="Times New Roman" w:hAnsi="Times New Roman" w:eastAsia="楷体" w:cs="Times New Roman"/>
                <w:i w:val="0"/>
                <w:iCs w:val="0"/>
                <w:color w:val="000000"/>
                <w:kern w:val="0"/>
                <w:sz w:val="24"/>
                <w:szCs w:val="24"/>
                <w:u w:val="none"/>
                <w:lang w:val="en-US" w:eastAsia="zh-CN" w:bidi="ar"/>
              </w:rPr>
              <w:t>学生</w:t>
            </w:r>
            <w:r>
              <w:rPr>
                <w:rFonts w:hint="default" w:ascii="Times New Roman" w:hAnsi="Times New Roman" w:eastAsia="楷体" w:cs="Times New Roman"/>
                <w:i w:val="0"/>
                <w:iCs w:val="0"/>
                <w:color w:val="000000"/>
                <w:kern w:val="0"/>
                <w:sz w:val="24"/>
                <w:szCs w:val="24"/>
                <w:u w:val="none"/>
                <w:lang w:val="en-US" w:eastAsia="zh-CN" w:bidi="ar"/>
              </w:rPr>
              <w:t>至少选4门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（天文类）：宇宙学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eastAsia" w:ascii="Times New Roman" w:hAnsi="Times New Roman" w:eastAsia="楷体" w:cs="Times New Roman"/>
                <w:i w:val="0"/>
                <w:iCs w:val="0"/>
                <w:color w:val="000000"/>
                <w:kern w:val="0"/>
                <w:sz w:val="24"/>
                <w:szCs w:val="24"/>
                <w:u w:val="none"/>
                <w:lang w:val="en-US" w:eastAsia="zh-CN" w:bidi="ar"/>
              </w:rPr>
              <w:t>（</w:t>
            </w:r>
            <w:r>
              <w:rPr>
                <w:rFonts w:hint="default" w:ascii="Times New Roman" w:hAnsi="Times New Roman" w:eastAsia="楷体" w:cs="Times New Roman"/>
                <w:i w:val="0"/>
                <w:iCs w:val="0"/>
                <w:color w:val="000000"/>
                <w:kern w:val="0"/>
                <w:sz w:val="24"/>
                <w:szCs w:val="24"/>
                <w:u w:val="none"/>
                <w:lang w:val="en-US" w:eastAsia="zh-CN" w:bidi="ar"/>
              </w:rPr>
              <w:t>天文类）：大规模数值模拟</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（天文类）：天文观测</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（量子类）：微纳光学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（量子类）：量子信息</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（量子类）：量子材料物理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现代物理与天文专题</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（量子类）：量子计算与量子模拟</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0.5</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学科前沿类课程</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物理实验（1）</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物理方向必修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学科研究方法类课程研一春季学期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16" w:type="pct"/>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专业</w:t>
            </w:r>
            <w:r>
              <w:rPr>
                <w:rFonts w:hint="eastAsia" w:ascii="Times New Roman" w:hAnsi="Times New Roman" w:eastAsia="楷体" w:cs="Times New Roman"/>
                <w:i w:val="0"/>
                <w:iCs w:val="0"/>
                <w:color w:val="000000"/>
                <w:kern w:val="0"/>
                <w:sz w:val="24"/>
                <w:szCs w:val="24"/>
                <w:u w:val="none"/>
                <w:lang w:val="en-US" w:eastAsia="zh-CN" w:bidi="ar"/>
              </w:rPr>
              <w:t>选修课</w:t>
            </w:r>
          </w:p>
          <w:p>
            <w:pPr>
              <w:jc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w:t>
            </w: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学分</w:t>
            </w: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语料库语言学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英语方向兴趣选修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语言统计</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英语方向兴趣选修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语言学实证研究原理及</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APA论文写作</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英语方向兴趣选修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配位化学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有机合成</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化学方向兴趣选修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前沿生命科学进展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生命方向兴趣选修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中国传统文化中的</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数学算法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数学方向兴趣选修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高等微积分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数学方向兴趣选修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noWrap/>
            <w:vAlign w:val="center"/>
          </w:tcPr>
          <w:p>
            <w:pP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电磁学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4</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原子物理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力学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热学</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物理方向兴趣选修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研一秋季学期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班级管理</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所有学科方向兴趣选修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学习动机理论与实践</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所有学科方向兴趣选修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STEM教育理论与实践</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所有学科方向兴趣选修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教师行动研究</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所有学科方向兴趣选修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noWrap/>
            <w:vAlign w:val="center"/>
          </w:tcPr>
          <w:p>
            <w:pPr>
              <w:rPr>
                <w:rFonts w:hint="default" w:ascii="Times New Roman" w:hAnsi="Times New Roman" w:eastAsia="楷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16" w:type="pct"/>
            <w:vMerge w:val="continue"/>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53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国际化视野下的教育</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与发展</w:t>
            </w:r>
          </w:p>
        </w:tc>
        <w:tc>
          <w:tcPr>
            <w:tcW w:w="413"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508" w:type="pct"/>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所有学科方向兴趣选修</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研一春季学期</w:t>
            </w:r>
          </w:p>
        </w:tc>
        <w:tc>
          <w:tcPr>
            <w:tcW w:w="722" w:type="pct"/>
            <w:shd w:val="clear" w:color="auto" w:fill="auto"/>
            <w:noWrap/>
            <w:vAlign w:val="center"/>
          </w:tcPr>
          <w:p>
            <w:pPr>
              <w:rPr>
                <w:rFonts w:hint="default" w:ascii="Times New Roman" w:hAnsi="Times New Roman" w:eastAsia="楷体" w:cs="Times New Roman"/>
                <w:i w:val="0"/>
                <w:iCs w:val="0"/>
                <w:color w:val="000000"/>
                <w:sz w:val="24"/>
                <w:szCs w:val="24"/>
                <w:u w:val="none"/>
              </w:rPr>
            </w:pPr>
          </w:p>
        </w:tc>
      </w:tr>
    </w:tbl>
    <w:tbl>
      <w:tblPr>
        <w:tblStyle w:val="8"/>
        <w:tblpPr w:leftFromText="180" w:rightFromText="180" w:vertAnchor="text" w:tblpX="11062" w:tblpY="-4374"/>
        <w:tblOverlap w:val="never"/>
        <w:tblW w:w="1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keepNext w:val="0"/>
              <w:keepLines w:val="0"/>
              <w:widowControl/>
              <w:numPr>
                <w:ilvl w:val="0"/>
                <w:numId w:val="0"/>
              </w:numPr>
              <w:suppressLineNumbers w:val="0"/>
              <w:jc w:val="both"/>
              <w:textAlignment w:val="center"/>
              <w:rPr>
                <w:rFonts w:hint="eastAsia" w:ascii="Times New Roman" w:hAnsi="Times New Roman" w:eastAsia="楷体" w:cs="Times New Roman"/>
                <w:b/>
                <w:bCs/>
                <w:i w:val="0"/>
                <w:iCs w:val="0"/>
                <w:color w:val="000000"/>
                <w:kern w:val="0"/>
                <w:sz w:val="26"/>
                <w:szCs w:val="26"/>
                <w:u w:val="none"/>
                <w:vertAlign w:val="baseline"/>
                <w:lang w:val="en-US" w:eastAsia="zh-CN" w:bidi="ar"/>
              </w:rPr>
            </w:pPr>
          </w:p>
        </w:tc>
      </w:tr>
    </w:tbl>
    <w:p>
      <w:pPr>
        <w:keepNext w:val="0"/>
        <w:keepLines w:val="0"/>
        <w:widowControl/>
        <w:numPr>
          <w:ilvl w:val="0"/>
          <w:numId w:val="0"/>
        </w:numPr>
        <w:suppressLineNumbers w:val="0"/>
        <w:jc w:val="both"/>
        <w:textAlignment w:val="center"/>
        <w:rPr>
          <w:rFonts w:hint="eastAsia" w:ascii="Times New Roman" w:hAnsi="Times New Roman" w:eastAsia="楷体" w:cs="Times New Roman"/>
          <w:b/>
          <w:bCs/>
          <w:i w:val="0"/>
          <w:iCs w:val="0"/>
          <w:color w:val="000000"/>
          <w:kern w:val="0"/>
          <w:sz w:val="26"/>
          <w:szCs w:val="26"/>
          <w:u w:val="none"/>
          <w:lang w:val="en-US" w:eastAsia="zh-CN" w:bidi="ar"/>
        </w:rPr>
      </w:pPr>
    </w:p>
    <w:p>
      <w:pPr>
        <w:pStyle w:val="2"/>
        <w:spacing w:line="331" w:lineRule="auto"/>
        <w:rPr>
          <w:rFonts w:hint="default" w:ascii="Times New Roman" w:hAnsi="Times New Roman" w:cs="Times New Roman" w:eastAsiaTheme="minorEastAsia"/>
          <w:lang w:val="en-US" w:eastAsia="zh-CN"/>
        </w:rPr>
      </w:pPr>
    </w:p>
    <w:p>
      <w:pPr>
        <w:pStyle w:val="2"/>
        <w:spacing w:line="331" w:lineRule="auto"/>
        <w:ind w:left="0" w:firstLine="480" w:firstLineChars="200"/>
        <w:rPr>
          <w:rFonts w:ascii="Times New Roman" w:hAnsi="Times New Roman" w:cs="Times New Roman" w:eastAsia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Bl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1" w:usb3="00000000" w:csb0="400001BF" w:csb1="DF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05481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114A3"/>
    <w:multiLevelType w:val="singleLevel"/>
    <w:tmpl w:val="A28114A3"/>
    <w:lvl w:ilvl="0" w:tentative="0">
      <w:start w:val="1"/>
      <w:numFmt w:val="decimal"/>
      <w:suff w:val="space"/>
      <w:lvlText w:val="%1."/>
      <w:lvlJc w:val="left"/>
    </w:lvl>
  </w:abstractNum>
  <w:abstractNum w:abstractNumId="1">
    <w:nsid w:val="E51E2395"/>
    <w:multiLevelType w:val="singleLevel"/>
    <w:tmpl w:val="E51E2395"/>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00005FDF"/>
    <w:rsid w:val="00011DFB"/>
    <w:rsid w:val="00012093"/>
    <w:rsid w:val="00023A3E"/>
    <w:rsid w:val="00024B7C"/>
    <w:rsid w:val="00027CE8"/>
    <w:rsid w:val="0003540A"/>
    <w:rsid w:val="000567B8"/>
    <w:rsid w:val="00066CC5"/>
    <w:rsid w:val="00076E4D"/>
    <w:rsid w:val="00086445"/>
    <w:rsid w:val="000925A4"/>
    <w:rsid w:val="000A112E"/>
    <w:rsid w:val="000A5B3F"/>
    <w:rsid w:val="000B2AD4"/>
    <w:rsid w:val="000D67CB"/>
    <w:rsid w:val="000E3074"/>
    <w:rsid w:val="001012FD"/>
    <w:rsid w:val="00105E8F"/>
    <w:rsid w:val="001072D1"/>
    <w:rsid w:val="001416F8"/>
    <w:rsid w:val="0014430A"/>
    <w:rsid w:val="00145D2C"/>
    <w:rsid w:val="0016448C"/>
    <w:rsid w:val="00167669"/>
    <w:rsid w:val="0018130F"/>
    <w:rsid w:val="001838B6"/>
    <w:rsid w:val="001A026D"/>
    <w:rsid w:val="001A0285"/>
    <w:rsid w:val="001C5168"/>
    <w:rsid w:val="001C7859"/>
    <w:rsid w:val="001F019E"/>
    <w:rsid w:val="002054AB"/>
    <w:rsid w:val="002150F8"/>
    <w:rsid w:val="0022483B"/>
    <w:rsid w:val="00227831"/>
    <w:rsid w:val="00242742"/>
    <w:rsid w:val="00261E61"/>
    <w:rsid w:val="002671AE"/>
    <w:rsid w:val="00286162"/>
    <w:rsid w:val="002863ED"/>
    <w:rsid w:val="002B4CFC"/>
    <w:rsid w:val="002C5320"/>
    <w:rsid w:val="002D620C"/>
    <w:rsid w:val="002E5140"/>
    <w:rsid w:val="002F12BA"/>
    <w:rsid w:val="00305610"/>
    <w:rsid w:val="00322184"/>
    <w:rsid w:val="00331330"/>
    <w:rsid w:val="00360EC3"/>
    <w:rsid w:val="00372A47"/>
    <w:rsid w:val="003C4614"/>
    <w:rsid w:val="003E31E8"/>
    <w:rsid w:val="003E6E7F"/>
    <w:rsid w:val="00400B3A"/>
    <w:rsid w:val="004147A2"/>
    <w:rsid w:val="00442884"/>
    <w:rsid w:val="00445851"/>
    <w:rsid w:val="00470990"/>
    <w:rsid w:val="004A2250"/>
    <w:rsid w:val="004B77B1"/>
    <w:rsid w:val="004D20AC"/>
    <w:rsid w:val="004E0B57"/>
    <w:rsid w:val="004E7AAD"/>
    <w:rsid w:val="004F563A"/>
    <w:rsid w:val="00507D77"/>
    <w:rsid w:val="005205AE"/>
    <w:rsid w:val="00521822"/>
    <w:rsid w:val="00556E10"/>
    <w:rsid w:val="00576DEF"/>
    <w:rsid w:val="00581D40"/>
    <w:rsid w:val="00595459"/>
    <w:rsid w:val="005A08C3"/>
    <w:rsid w:val="005A1049"/>
    <w:rsid w:val="005C5403"/>
    <w:rsid w:val="005D36F1"/>
    <w:rsid w:val="005D4166"/>
    <w:rsid w:val="005F02AD"/>
    <w:rsid w:val="0060572D"/>
    <w:rsid w:val="00610E10"/>
    <w:rsid w:val="00626E6C"/>
    <w:rsid w:val="00627760"/>
    <w:rsid w:val="00631C0D"/>
    <w:rsid w:val="00635FF7"/>
    <w:rsid w:val="006557C6"/>
    <w:rsid w:val="00662C4B"/>
    <w:rsid w:val="00663467"/>
    <w:rsid w:val="00682DB9"/>
    <w:rsid w:val="00685B97"/>
    <w:rsid w:val="006B3C8D"/>
    <w:rsid w:val="006C25DF"/>
    <w:rsid w:val="006D185E"/>
    <w:rsid w:val="006E18FD"/>
    <w:rsid w:val="006F32EA"/>
    <w:rsid w:val="00705E5F"/>
    <w:rsid w:val="007109C2"/>
    <w:rsid w:val="00716706"/>
    <w:rsid w:val="0072184F"/>
    <w:rsid w:val="00737134"/>
    <w:rsid w:val="0074353B"/>
    <w:rsid w:val="0074473B"/>
    <w:rsid w:val="007462B2"/>
    <w:rsid w:val="00751ECD"/>
    <w:rsid w:val="00762CFD"/>
    <w:rsid w:val="00770142"/>
    <w:rsid w:val="00791A94"/>
    <w:rsid w:val="007B3A85"/>
    <w:rsid w:val="007D4C59"/>
    <w:rsid w:val="00820CAD"/>
    <w:rsid w:val="008515CC"/>
    <w:rsid w:val="008546C7"/>
    <w:rsid w:val="008745AE"/>
    <w:rsid w:val="00885A1D"/>
    <w:rsid w:val="00886C04"/>
    <w:rsid w:val="008A604B"/>
    <w:rsid w:val="008C5CC2"/>
    <w:rsid w:val="008E3E37"/>
    <w:rsid w:val="008F4CF6"/>
    <w:rsid w:val="009210BD"/>
    <w:rsid w:val="009B0583"/>
    <w:rsid w:val="009B42CC"/>
    <w:rsid w:val="009C5FF0"/>
    <w:rsid w:val="009D4E8D"/>
    <w:rsid w:val="009E6F81"/>
    <w:rsid w:val="00A102CC"/>
    <w:rsid w:val="00A5007C"/>
    <w:rsid w:val="00A55AB8"/>
    <w:rsid w:val="00A63B6F"/>
    <w:rsid w:val="00A76CFE"/>
    <w:rsid w:val="00AC6B29"/>
    <w:rsid w:val="00AE1660"/>
    <w:rsid w:val="00AF13D8"/>
    <w:rsid w:val="00B139C6"/>
    <w:rsid w:val="00B1557F"/>
    <w:rsid w:val="00B15FCF"/>
    <w:rsid w:val="00B20AB0"/>
    <w:rsid w:val="00B4114B"/>
    <w:rsid w:val="00B55EF6"/>
    <w:rsid w:val="00B81BB0"/>
    <w:rsid w:val="00B8583D"/>
    <w:rsid w:val="00BB6FAF"/>
    <w:rsid w:val="00BB7775"/>
    <w:rsid w:val="00BD5E3F"/>
    <w:rsid w:val="00C03213"/>
    <w:rsid w:val="00C60CC3"/>
    <w:rsid w:val="00C725E4"/>
    <w:rsid w:val="00CA66D4"/>
    <w:rsid w:val="00CD28C9"/>
    <w:rsid w:val="00CE76BC"/>
    <w:rsid w:val="00D02AE1"/>
    <w:rsid w:val="00D17650"/>
    <w:rsid w:val="00D321FC"/>
    <w:rsid w:val="00D34C05"/>
    <w:rsid w:val="00D355A1"/>
    <w:rsid w:val="00D361A7"/>
    <w:rsid w:val="00D364B4"/>
    <w:rsid w:val="00D364E6"/>
    <w:rsid w:val="00D378CE"/>
    <w:rsid w:val="00D44275"/>
    <w:rsid w:val="00D44C8A"/>
    <w:rsid w:val="00D46C7D"/>
    <w:rsid w:val="00D526DD"/>
    <w:rsid w:val="00D60FAB"/>
    <w:rsid w:val="00D741F9"/>
    <w:rsid w:val="00DB5AC2"/>
    <w:rsid w:val="00DC01D4"/>
    <w:rsid w:val="00DF3AEE"/>
    <w:rsid w:val="00E023C8"/>
    <w:rsid w:val="00E065DA"/>
    <w:rsid w:val="00E30C23"/>
    <w:rsid w:val="00E766D2"/>
    <w:rsid w:val="00E778D9"/>
    <w:rsid w:val="00E87D2D"/>
    <w:rsid w:val="00ED7A41"/>
    <w:rsid w:val="00EE668F"/>
    <w:rsid w:val="00EF417D"/>
    <w:rsid w:val="00F1404C"/>
    <w:rsid w:val="00F360C6"/>
    <w:rsid w:val="00F543BB"/>
    <w:rsid w:val="00F711E2"/>
    <w:rsid w:val="00FC0A54"/>
    <w:rsid w:val="00FC0CF4"/>
    <w:rsid w:val="00FC3A6E"/>
    <w:rsid w:val="00FD1D8A"/>
    <w:rsid w:val="00FD64F2"/>
    <w:rsid w:val="00FE76B1"/>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40" w:lineRule="exact"/>
      <w:ind w:left="120"/>
    </w:pPr>
    <w:rPr>
      <w:rFonts w:ascii="Noto Sans CJK JP Black" w:hAnsi="Noto Sans CJK JP Black" w:eastAsia="Noto Sans CJK JP Black" w:cs="Noto Sans CJK JP Black"/>
      <w:sz w:val="24"/>
    </w:rPr>
  </w:style>
  <w:style w:type="paragraph" w:styleId="3">
    <w:name w:val="Balloon Text"/>
    <w:basedOn w:val="1"/>
    <w:link w:val="19"/>
    <w:semiHidden/>
    <w:unhideWhenUsed/>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paragraph" w:customStyle="1" w:styleId="11">
    <w:name w:val="列表段落1"/>
    <w:basedOn w:val="1"/>
    <w:qFormat/>
    <w:uiPriority w:val="1"/>
    <w:pPr>
      <w:spacing w:line="440" w:lineRule="exact"/>
      <w:ind w:left="961" w:hanging="361"/>
    </w:pPr>
    <w:rPr>
      <w:rFonts w:ascii="Noto Sans CJK JP Black" w:hAnsi="Noto Sans CJK JP Black" w:eastAsia="Noto Sans CJK JP Black" w:cs="Noto Sans CJK JP Black"/>
    </w:rPr>
  </w:style>
  <w:style w:type="paragraph" w:customStyle="1" w:styleId="12">
    <w:name w:val="Body text|1"/>
    <w:basedOn w:val="1"/>
    <w:qFormat/>
    <w:uiPriority w:val="0"/>
    <w:pPr>
      <w:spacing w:after="180"/>
    </w:pPr>
    <w:rPr>
      <w:rFonts w:ascii="宋体" w:hAnsi="宋体" w:eastAsia="宋体" w:cs="宋体"/>
      <w:color w:val="333333"/>
      <w:sz w:val="15"/>
      <w:szCs w:val="15"/>
      <w:lang w:val="zh-TW" w:eastAsia="zh-TW" w:bidi="zh-TW"/>
    </w:rPr>
  </w:style>
  <w:style w:type="paragraph" w:customStyle="1" w:styleId="13">
    <w:name w:val="列出段落2"/>
    <w:basedOn w:val="1"/>
    <w:qFormat/>
    <w:uiPriority w:val="0"/>
    <w:pPr>
      <w:ind w:left="720"/>
    </w:pPr>
    <w:rPr>
      <w:rFonts w:ascii="Times New Roman" w:hAnsi="Times New Roman"/>
    </w:rPr>
  </w:style>
  <w:style w:type="character" w:customStyle="1" w:styleId="14">
    <w:name w:val="font21"/>
    <w:basedOn w:val="9"/>
    <w:qFormat/>
    <w:uiPriority w:val="0"/>
    <w:rPr>
      <w:rFonts w:hint="default" w:ascii="TimesNewRomanPSMT" w:hAnsi="TimesNewRomanPSMT" w:eastAsia="TimesNewRomanPSMT" w:cs="TimesNewRomanPSMT"/>
      <w:color w:val="000000"/>
      <w:sz w:val="24"/>
      <w:szCs w:val="24"/>
      <w:u w:val="none"/>
    </w:rPr>
  </w:style>
  <w:style w:type="character" w:customStyle="1" w:styleId="15">
    <w:name w:val="font01"/>
    <w:basedOn w:val="9"/>
    <w:qFormat/>
    <w:uiPriority w:val="0"/>
    <w:rPr>
      <w:rFonts w:hint="eastAsia" w:ascii="宋体" w:hAnsi="宋体" w:eastAsia="宋体" w:cs="宋体"/>
      <w:color w:val="000000"/>
      <w:sz w:val="24"/>
      <w:szCs w:val="24"/>
      <w:u w:val="none"/>
    </w:rPr>
  </w:style>
  <w:style w:type="character" w:customStyle="1" w:styleId="16">
    <w:name w:val="页眉 字符"/>
    <w:basedOn w:val="9"/>
    <w:link w:val="5"/>
    <w:qFormat/>
    <w:uiPriority w:val="0"/>
    <w:rPr>
      <w:rFonts w:asciiTheme="minorHAnsi" w:hAnsiTheme="minorHAnsi" w:eastAsiaTheme="minorEastAsia" w:cstheme="minorBidi"/>
      <w:kern w:val="2"/>
      <w:sz w:val="18"/>
      <w:szCs w:val="18"/>
    </w:rPr>
  </w:style>
  <w:style w:type="character" w:customStyle="1" w:styleId="17">
    <w:name w:val="页脚 字符"/>
    <w:basedOn w:val="9"/>
    <w:link w:val="4"/>
    <w:qFormat/>
    <w:uiPriority w:val="99"/>
    <w:rPr>
      <w:rFonts w:asciiTheme="minorHAnsi" w:hAnsiTheme="minorHAnsi" w:eastAsiaTheme="minorEastAsia" w:cstheme="minorBidi"/>
      <w:kern w:val="2"/>
      <w:sz w:val="18"/>
      <w:szCs w:val="18"/>
    </w:rPr>
  </w:style>
  <w:style w:type="paragraph" w:customStyle="1" w:styleId="18">
    <w:name w:val="1"/>
    <w:basedOn w:val="1"/>
    <w:qFormat/>
    <w:uiPriority w:val="0"/>
    <w:pPr>
      <w:spacing w:line="400" w:lineRule="exact"/>
      <w:ind w:firstLine="960" w:firstLineChars="200"/>
    </w:pPr>
    <w:rPr>
      <w:rFonts w:ascii="Times New Roman" w:hAnsi="Times New Roman" w:eastAsia="宋体" w:cs="Times New Roman"/>
    </w:rPr>
  </w:style>
  <w:style w:type="character" w:customStyle="1" w:styleId="19">
    <w:name w:val="批注框文本 字符"/>
    <w:basedOn w:val="9"/>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59D18-74D7-46B1-A5F4-FBF46D73BB51}">
  <ds:schemaRefs/>
</ds:datastoreItem>
</file>

<file path=docProps/app.xml><?xml version="1.0" encoding="utf-8"?>
<Properties xmlns="http://schemas.openxmlformats.org/officeDocument/2006/extended-properties" xmlns:vt="http://schemas.openxmlformats.org/officeDocument/2006/docPropsVTypes">
  <Template>Normal</Template>
  <Pages>4</Pages>
  <Words>418</Words>
  <Characters>2383</Characters>
  <Lines>19</Lines>
  <Paragraphs>5</Paragraphs>
  <TotalTime>3</TotalTime>
  <ScaleCrop>false</ScaleCrop>
  <LinksUpToDate>false</LinksUpToDate>
  <CharactersWithSpaces>2796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2021-05-18T08:48:00Z</dcterms:created>
  <dc:creator>conglin</dc:creator>
  <cp:lastModifiedBy>HH</cp:lastModifiedBy>
  <cp:lastPrinted>2021-03-09T02:57:00Z</cp:lastPrinted>
  <dcterms:modified xsi:type="dcterms:W3CDTF">2021-09-16T03:23:09Z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