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46FB" w14:textId="77777777" w:rsidR="00B6705D" w:rsidRDefault="002B32BA">
      <w:pPr>
        <w:spacing w:beforeLines="50" w:before="156" w:afterLines="50" w:after="156"/>
        <w:jc w:val="center"/>
        <w:rPr>
          <w:rFonts w:ascii="Times New Roman Regular" w:eastAsia="STFangsong" w:hAnsi="Times New Roman Regular" w:cs="Times New Roman Regular" w:hint="eastAsia"/>
          <w:b/>
          <w:sz w:val="32"/>
          <w:szCs w:val="32"/>
        </w:rPr>
      </w:pPr>
      <w:r>
        <w:rPr>
          <w:rFonts w:ascii="Times New Roman Regular" w:eastAsia="STFangsong" w:hAnsi="Times New Roman Regular" w:cs="Times New Roman Regular"/>
          <w:b/>
          <w:sz w:val="32"/>
          <w:szCs w:val="32"/>
        </w:rPr>
        <w:t>教育学</w:t>
      </w:r>
      <w:r>
        <w:rPr>
          <w:rFonts w:ascii="Times New Roman Regular" w:eastAsia="STFangsong" w:hAnsi="Times New Roman Regular" w:cs="Times New Roman Regular"/>
          <w:b/>
          <w:sz w:val="32"/>
          <w:szCs w:val="32"/>
        </w:rPr>
        <w:t>(040100)</w:t>
      </w:r>
      <w:r>
        <w:rPr>
          <w:rFonts w:ascii="Times New Roman Regular" w:eastAsia="STFangsong" w:hAnsi="Times New Roman Regular" w:cs="Times New Roman Regular"/>
          <w:b/>
          <w:sz w:val="32"/>
          <w:szCs w:val="32"/>
        </w:rPr>
        <w:t>全日制硕士培养方案</w:t>
      </w:r>
    </w:p>
    <w:p w14:paraId="36C5E985" w14:textId="77777777" w:rsidR="00B6705D" w:rsidRDefault="002B32BA">
      <w:pPr>
        <w:numPr>
          <w:ilvl w:val="0"/>
          <w:numId w:val="1"/>
        </w:numPr>
        <w:spacing w:beforeLines="50" w:before="156" w:afterLines="50" w:after="156"/>
        <w:rPr>
          <w:rFonts w:ascii="STFangsong" w:eastAsia="STFangsong" w:hAnsi="STFangsong" w:cs="STFangsong"/>
          <w:b/>
          <w:sz w:val="28"/>
          <w:szCs w:val="28"/>
        </w:rPr>
      </w:pPr>
      <w:r>
        <w:rPr>
          <w:rFonts w:ascii="STFangsong" w:eastAsia="STFangsong" w:hAnsi="STFangsong" w:cs="STFangsong" w:hint="eastAsia"/>
          <w:b/>
          <w:sz w:val="28"/>
          <w:szCs w:val="28"/>
        </w:rPr>
        <w:t>基本信息</w:t>
      </w:r>
    </w:p>
    <w:tbl>
      <w:tblPr>
        <w:tblW w:w="495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945"/>
        <w:gridCol w:w="1732"/>
        <w:gridCol w:w="1023"/>
        <w:gridCol w:w="2094"/>
        <w:gridCol w:w="1064"/>
      </w:tblGrid>
      <w:tr w:rsidR="00B6705D" w14:paraId="0ECD11F3" w14:textId="77777777">
        <w:trPr>
          <w:trHeight w:hRule="exact" w:val="5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19C6117" w14:textId="77777777" w:rsidR="00B6705D" w:rsidRDefault="002B32BA">
            <w:pPr>
              <w:spacing w:line="240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院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系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名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称</w:t>
            </w:r>
          </w:p>
        </w:tc>
        <w:tc>
          <w:tcPr>
            <w:tcW w:w="2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7459E06" w14:textId="77777777" w:rsidR="00B6705D" w:rsidRDefault="002B32BA">
            <w:pPr>
              <w:spacing w:line="216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szCs w:val="21"/>
              </w:rPr>
              <w:t>(350)</w:t>
            </w:r>
            <w:r>
              <w:rPr>
                <w:rFonts w:ascii="Times New Roman Regular" w:eastAsia="STFangsong" w:hAnsi="Times New Roman Regular" w:cs="Times New Roman Regular"/>
                <w:szCs w:val="21"/>
              </w:rPr>
              <w:t>教育学院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CC30E2" w14:textId="77777777" w:rsidR="00B6705D" w:rsidRDefault="002B32BA">
            <w:pPr>
              <w:spacing w:line="240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适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用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年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级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87C2CBD" w14:textId="77777777" w:rsidR="00B6705D" w:rsidRDefault="002B32BA">
            <w:pPr>
              <w:spacing w:line="216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szCs w:val="21"/>
              </w:rPr>
              <w:t>2022</w:t>
            </w:r>
          </w:p>
        </w:tc>
      </w:tr>
      <w:tr w:rsidR="00B6705D" w14:paraId="6898B911" w14:textId="77777777">
        <w:trPr>
          <w:trHeight w:hRule="exact" w:val="52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C364F19" w14:textId="77777777" w:rsidR="00B6705D" w:rsidRDefault="002B32BA">
            <w:pPr>
              <w:spacing w:line="240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适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用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专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业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855848" w14:textId="77777777" w:rsidR="00B6705D" w:rsidRDefault="002B32BA">
            <w:pPr>
              <w:spacing w:line="216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szCs w:val="21"/>
              </w:rPr>
              <w:t>教育学</w:t>
            </w:r>
            <w:r>
              <w:rPr>
                <w:rFonts w:ascii="Times New Roman Regular" w:eastAsia="STFangsong" w:hAnsi="Times New Roman Regular" w:cs="Times New Roman Regular"/>
                <w:szCs w:val="21"/>
              </w:rPr>
              <w:t>(040100)</w:t>
            </w:r>
          </w:p>
        </w:tc>
      </w:tr>
      <w:tr w:rsidR="00B6705D" w14:paraId="10247826" w14:textId="77777777">
        <w:trPr>
          <w:trHeight w:hRule="exact" w:val="460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600A534" w14:textId="77777777" w:rsidR="00B6705D" w:rsidRDefault="002B32BA">
            <w:pPr>
              <w:spacing w:line="240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项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目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类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型</w:t>
            </w:r>
          </w:p>
        </w:tc>
        <w:tc>
          <w:tcPr>
            <w:tcW w:w="4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CEA88A" w14:textId="77777777" w:rsidR="00B6705D" w:rsidRDefault="002B32BA">
            <w:pPr>
              <w:spacing w:line="216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szCs w:val="21"/>
                <w:lang w:eastAsia="zh-Hans"/>
              </w:rPr>
            </w:pPr>
            <w:r>
              <w:rPr>
                <w:rFonts w:ascii="Times New Roman Regular" w:eastAsia="STFangsong" w:hAnsi="Times New Roman Regular" w:cs="Times New Roman Regular"/>
                <w:szCs w:val="21"/>
              </w:rPr>
              <w:t>全日制</w:t>
            </w:r>
            <w:r>
              <w:rPr>
                <w:rFonts w:ascii="Times New Roman Regular" w:eastAsia="STFangsong" w:hAnsi="Times New Roman Regular" w:cs="Times New Roman Regular" w:hint="eastAsia"/>
                <w:szCs w:val="21"/>
                <w:lang w:eastAsia="zh-Hans"/>
              </w:rPr>
              <w:t>硕士</w:t>
            </w:r>
          </w:p>
        </w:tc>
      </w:tr>
      <w:tr w:rsidR="00B6705D" w14:paraId="03AB702E" w14:textId="77777777">
        <w:trPr>
          <w:trHeight w:hRule="exact" w:val="545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21FE41" w14:textId="77777777" w:rsidR="00B6705D" w:rsidRDefault="002B32BA">
            <w:pPr>
              <w:spacing w:line="240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最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低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学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 xml:space="preserve"> 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D23E325" w14:textId="77777777" w:rsidR="00B6705D" w:rsidRDefault="002B32BA">
            <w:pPr>
              <w:spacing w:line="216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szCs w:val="21"/>
              </w:rPr>
              <w:t>30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CDF2FB" w14:textId="77777777" w:rsidR="00B6705D" w:rsidRDefault="002B32BA">
            <w:pPr>
              <w:spacing w:line="240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最低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GPA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学分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BEF80A5" w14:textId="77777777" w:rsidR="00B6705D" w:rsidRDefault="002B32BA">
            <w:pPr>
              <w:spacing w:line="216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szCs w:val="21"/>
              </w:rPr>
              <w:t>25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E26FE5A" w14:textId="77777777" w:rsidR="00B6705D" w:rsidRDefault="002B32BA">
            <w:pPr>
              <w:spacing w:line="240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最低</w:t>
            </w:r>
            <w:r>
              <w:rPr>
                <w:rFonts w:ascii="Times New Roman Regular" w:eastAsia="STFangsong" w:hAnsi="Times New Roman Regular" w:cs="Times New Roman Regular"/>
                <w:b/>
                <w:bCs/>
                <w:szCs w:val="21"/>
              </w:rPr>
              <w:t>GPA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F89651" w14:textId="77777777" w:rsidR="00B6705D" w:rsidRDefault="002B32BA">
            <w:pPr>
              <w:spacing w:line="216" w:lineRule="exact"/>
              <w:ind w:left="20"/>
              <w:jc w:val="center"/>
              <w:rPr>
                <w:rFonts w:ascii="Times New Roman Regular" w:eastAsia="STFangsong" w:hAnsi="Times New Roman Regular" w:cs="Times New Roman Regular" w:hint="eastAsia"/>
                <w:szCs w:val="21"/>
                <w:lang w:eastAsia="zh-Hans"/>
              </w:rPr>
            </w:pPr>
            <w:r>
              <w:rPr>
                <w:rFonts w:ascii="Times New Roman Regular" w:eastAsia="STFangsong" w:hAnsi="Times New Roman Regular" w:cs="Times New Roman Regular"/>
                <w:szCs w:val="21"/>
              </w:rPr>
              <w:t>3</w:t>
            </w:r>
            <w:r>
              <w:rPr>
                <w:rFonts w:ascii="Times New Roman Regular" w:eastAsia="STFangsong" w:hAnsi="Times New Roman Regular" w:cs="Times New Roman Regular" w:hint="eastAsia"/>
                <w:szCs w:val="21"/>
                <w:lang w:eastAsia="zh-Hans"/>
              </w:rPr>
              <w:t>.</w:t>
            </w:r>
            <w:r>
              <w:rPr>
                <w:rFonts w:ascii="Times New Roman Regular" w:eastAsia="STFangsong" w:hAnsi="Times New Roman Regular" w:cs="Times New Roman Regular"/>
                <w:szCs w:val="21"/>
                <w:lang w:eastAsia="zh-Hans"/>
              </w:rPr>
              <w:t>0</w:t>
            </w:r>
          </w:p>
        </w:tc>
      </w:tr>
    </w:tbl>
    <w:p w14:paraId="5C805172" w14:textId="263A319A" w:rsidR="00B6705D" w:rsidRDefault="007462AB" w:rsidP="007462AB">
      <w:pPr>
        <w:spacing w:beforeLines="50" w:before="156" w:afterLines="50" w:after="156"/>
        <w:rPr>
          <w:rFonts w:ascii="STFangsong" w:eastAsia="STFangsong" w:hAnsi="STFangsong" w:cs="STFangsong"/>
          <w:b/>
          <w:sz w:val="28"/>
          <w:szCs w:val="28"/>
        </w:rPr>
      </w:pPr>
      <w:r>
        <w:rPr>
          <w:rFonts w:ascii="STFangsong" w:eastAsia="STFangsong" w:hAnsi="STFangsong" w:cs="STFangsong" w:hint="eastAsia"/>
          <w:b/>
          <w:sz w:val="28"/>
        </w:rPr>
        <w:t>二、</w:t>
      </w:r>
      <w:r w:rsidR="002B32BA">
        <w:rPr>
          <w:rFonts w:ascii="STFangsong" w:eastAsia="STFangsong" w:hAnsi="STFangsong" w:cs="STFangsong" w:hint="eastAsia"/>
          <w:b/>
          <w:sz w:val="28"/>
          <w:szCs w:val="28"/>
        </w:rPr>
        <w:t>学科简介</w:t>
      </w:r>
    </w:p>
    <w:p w14:paraId="41C165EB" w14:textId="36B1ED9B" w:rsidR="00B6705D" w:rsidRDefault="002B32BA">
      <w:pPr>
        <w:spacing w:line="360" w:lineRule="auto"/>
        <w:ind w:firstLineChars="200" w:firstLine="480"/>
        <w:rPr>
          <w:rFonts w:ascii="Times New Roman Regular" w:eastAsia="STFangsong" w:hAnsi="Times New Roman Regular" w:cs="Times New Roman Regular" w:hint="eastAsia"/>
          <w:bCs/>
          <w:sz w:val="24"/>
        </w:rPr>
      </w:pPr>
      <w:r>
        <w:rPr>
          <w:rFonts w:ascii="Times New Roman Regular" w:eastAsia="STFangsong" w:hAnsi="Times New Roman Regular" w:cs="Times New Roman Regular" w:hint="eastAsia"/>
          <w:bCs/>
          <w:sz w:val="24"/>
        </w:rPr>
        <w:t>教育学是研究人类教育现象和问题、揭示一般教育规律的一门社会科学。我校教育学一级学科点以学校高等教育研究院（室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/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所）近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30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年的世界一流大学研究为基础发展而来。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1998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年设立高等教育学硕士点，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2003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年设立科技与教育管理博士点，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2010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年设立教育学一级学科硕士点。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2012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年设立公共管理博士点，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2021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年</w:t>
      </w:r>
      <w:r w:rsidR="00A16A3A">
        <w:rPr>
          <w:rFonts w:ascii="Times New Roman Regular" w:eastAsia="STFangsong" w:hAnsi="Times New Roman Regular" w:cs="Times New Roman Regular" w:hint="eastAsia"/>
          <w:bCs/>
          <w:sz w:val="24"/>
        </w:rPr>
        <w:t>申报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教育学博士点。本学科点以高等教育学、比较教育学等为主要学科发展方向，以世界一流大学、高等教育管理、研究生教育、大学教育教学、高等工程教育为主要学术方向。经过长期的办学积累，本学科点形成了鲜明的办学特色：一是以定量和实证研究为主要手段；二是理论研究和政策咨询紧密结合；三是领先的国际化战略。</w:t>
      </w:r>
    </w:p>
    <w:p w14:paraId="336FCA9A" w14:textId="60DD1BF3" w:rsidR="00B6705D" w:rsidRPr="00E504E2" w:rsidRDefault="002B32BA" w:rsidP="00E504E2">
      <w:pPr>
        <w:pStyle w:val="a5"/>
        <w:numPr>
          <w:ilvl w:val="0"/>
          <w:numId w:val="3"/>
        </w:numPr>
        <w:spacing w:beforeLines="50" w:before="156" w:afterLines="50" w:after="156"/>
        <w:ind w:firstLineChars="0"/>
        <w:rPr>
          <w:rFonts w:ascii="STFangsong" w:eastAsia="STFangsong" w:hAnsi="STFangsong" w:cs="STFangsong"/>
          <w:b/>
          <w:sz w:val="28"/>
          <w:szCs w:val="28"/>
        </w:rPr>
      </w:pPr>
      <w:r w:rsidRPr="00E504E2">
        <w:rPr>
          <w:rFonts w:ascii="STFangsong" w:eastAsia="STFangsong" w:hAnsi="STFangsong" w:cs="STFangsong" w:hint="eastAsia"/>
          <w:b/>
          <w:sz w:val="28"/>
          <w:szCs w:val="28"/>
        </w:rPr>
        <w:t>培养目标</w:t>
      </w:r>
    </w:p>
    <w:p w14:paraId="62BC54CE" w14:textId="77777777" w:rsidR="00B6705D" w:rsidRDefault="002B32BA">
      <w:pPr>
        <w:spacing w:line="360" w:lineRule="auto"/>
        <w:ind w:firstLineChars="200" w:firstLine="480"/>
        <w:rPr>
          <w:rFonts w:ascii="Times New Roman Regular" w:eastAsia="STFangsong" w:hAnsi="Times New Roman Regular" w:cs="Times New Roman Regular" w:hint="eastAsia"/>
          <w:bCs/>
          <w:sz w:val="24"/>
        </w:rPr>
      </w:pPr>
      <w:r>
        <w:rPr>
          <w:rFonts w:ascii="Times New Roman Regular" w:eastAsia="STFangsong" w:hAnsi="Times New Roman Regular" w:cs="Times New Roman Regular" w:hint="eastAsia"/>
          <w:bCs/>
          <w:sz w:val="24"/>
        </w:rPr>
        <w:t>本专业硕士毕业生应具有扎实的教育学理论基础和专业知识</w:t>
      </w:r>
      <w:r>
        <w:rPr>
          <w:rFonts w:ascii="Times New Roman Regular" w:eastAsia="STFangsong" w:hAnsi="Times New Roman Regular" w:cs="Times New Roman Regular"/>
          <w:bCs/>
          <w:sz w:val="24"/>
        </w:rPr>
        <w:t>，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较好地掌握并运用教育研究方法；了解教育学某分支领域国内外研究进展和实际问题，具备独立开展教育研究的能力；具备在教育和科研机构、教育行政部门、其他企事业单位从事教学和管理工作的能力。</w:t>
      </w:r>
    </w:p>
    <w:p w14:paraId="6E0E3B06" w14:textId="5393E5B1" w:rsidR="00B6705D" w:rsidRPr="00E504E2" w:rsidRDefault="002B32BA" w:rsidP="00E504E2">
      <w:pPr>
        <w:pStyle w:val="a5"/>
        <w:numPr>
          <w:ilvl w:val="0"/>
          <w:numId w:val="3"/>
        </w:numPr>
        <w:spacing w:beforeLines="50" w:before="156" w:afterLines="50" w:after="156"/>
        <w:ind w:firstLineChars="0"/>
        <w:rPr>
          <w:rFonts w:ascii="STFangsong" w:eastAsia="STFangsong" w:hAnsi="STFangsong" w:cs="STFangsong"/>
          <w:b/>
          <w:sz w:val="28"/>
          <w:szCs w:val="28"/>
        </w:rPr>
      </w:pPr>
      <w:r w:rsidRPr="00E504E2">
        <w:rPr>
          <w:rFonts w:ascii="STFangsong" w:eastAsia="STFangsong" w:hAnsi="STFangsong" w:cs="STFangsong" w:hint="eastAsia"/>
          <w:b/>
          <w:sz w:val="28"/>
          <w:szCs w:val="28"/>
        </w:rPr>
        <w:lastRenderedPageBreak/>
        <w:t>培养方式及学习年限</w:t>
      </w:r>
    </w:p>
    <w:p w14:paraId="32FB4D5E" w14:textId="77777777" w:rsidR="00B6705D" w:rsidRDefault="002B32BA">
      <w:pPr>
        <w:spacing w:line="360" w:lineRule="auto"/>
        <w:ind w:firstLineChars="200" w:firstLine="480"/>
        <w:rPr>
          <w:rFonts w:ascii="Times New Roman Regular" w:eastAsia="STFangsong" w:hAnsi="Times New Roman Regular" w:cs="Times New Roman Regular" w:hint="eastAsia"/>
          <w:bCs/>
          <w:sz w:val="24"/>
        </w:rPr>
      </w:pPr>
      <w:r>
        <w:rPr>
          <w:rFonts w:ascii="Times New Roman Regular" w:eastAsia="STFangsong" w:hAnsi="Times New Roman Regular" w:cs="Times New Roman Regular" w:hint="eastAsia"/>
          <w:bCs/>
          <w:sz w:val="24"/>
        </w:rPr>
        <w:t>全日制。基本学习年限为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2.5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年。</w:t>
      </w:r>
    </w:p>
    <w:p w14:paraId="6DD3D01C" w14:textId="77777777" w:rsidR="00B6705D" w:rsidRDefault="002B32BA" w:rsidP="00E504E2">
      <w:pPr>
        <w:numPr>
          <w:ilvl w:val="0"/>
          <w:numId w:val="3"/>
        </w:numPr>
        <w:spacing w:beforeLines="50" w:before="156" w:afterLines="50" w:after="156"/>
        <w:rPr>
          <w:rFonts w:ascii="STFangsong" w:eastAsia="STFangsong" w:hAnsi="STFangsong" w:cs="STFangsong"/>
          <w:b/>
          <w:sz w:val="28"/>
          <w:szCs w:val="28"/>
        </w:rPr>
      </w:pPr>
      <w:r>
        <w:rPr>
          <w:rFonts w:ascii="STFangsong" w:eastAsia="STFangsong" w:hAnsi="STFangsong" w:cs="STFangsong" w:hint="eastAsia"/>
          <w:b/>
          <w:sz w:val="28"/>
          <w:szCs w:val="28"/>
        </w:rPr>
        <w:t>课程学习要求</w:t>
      </w:r>
    </w:p>
    <w:tbl>
      <w:tblPr>
        <w:tblW w:w="4856" w:type="pct"/>
        <w:jc w:val="center"/>
        <w:tblLook w:val="04A0" w:firstRow="1" w:lastRow="0" w:firstColumn="1" w:lastColumn="0" w:noHBand="0" w:noVBand="1"/>
      </w:tblPr>
      <w:tblGrid>
        <w:gridCol w:w="2106"/>
        <w:gridCol w:w="2140"/>
        <w:gridCol w:w="2078"/>
        <w:gridCol w:w="1953"/>
      </w:tblGrid>
      <w:tr w:rsidR="00B6705D" w14:paraId="52DAB896" w14:textId="77777777">
        <w:trPr>
          <w:trHeight w:val="450"/>
          <w:jc w:val="center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E3AE84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b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color w:val="000000"/>
                <w:kern w:val="0"/>
                <w:szCs w:val="21"/>
                <w:lang w:bidi="ar"/>
              </w:rPr>
              <w:t>课程类别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AAF0F8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b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color w:val="000000"/>
                <w:kern w:val="0"/>
                <w:szCs w:val="21"/>
                <w:lang w:bidi="ar"/>
              </w:rPr>
              <w:t>学分要求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EB2D0B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b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color w:val="000000"/>
                <w:kern w:val="0"/>
                <w:szCs w:val="21"/>
                <w:lang w:bidi="ar"/>
              </w:rPr>
              <w:t xml:space="preserve">GPA </w:t>
            </w:r>
            <w:r>
              <w:rPr>
                <w:rFonts w:ascii="Times New Roman Regular" w:eastAsia="STFangsong" w:hAnsi="Times New Roman Regular" w:cs="Times New Roman Regular"/>
                <w:b/>
                <w:color w:val="000000"/>
                <w:kern w:val="0"/>
                <w:szCs w:val="21"/>
                <w:lang w:bidi="ar"/>
              </w:rPr>
              <w:t>学分要求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2BB565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b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B6705D" w14:paraId="65200C15" w14:textId="77777777">
        <w:trPr>
          <w:trHeight w:val="440"/>
          <w:jc w:val="center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249D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77E0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szCs w:val="21"/>
              </w:rPr>
              <w:t>5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81E0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3C60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1FC62D37" w14:textId="77777777">
        <w:trPr>
          <w:trHeight w:val="440"/>
          <w:jc w:val="center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8056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专业基础课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1CA3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784D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E8B4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20BB382C" w14:textId="77777777">
        <w:trPr>
          <w:trHeight w:val="425"/>
          <w:jc w:val="center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5912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专业前沿课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C2F5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szCs w:val="21"/>
              </w:rPr>
              <w:t>4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0C6C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2F6E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08E8E883" w14:textId="77777777">
        <w:trPr>
          <w:trHeight w:val="481"/>
          <w:jc w:val="center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C614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专业选修课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BBCB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szCs w:val="21"/>
              </w:rPr>
              <w:t>8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1C03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5A96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</w:tbl>
    <w:p w14:paraId="6A2CB005" w14:textId="77777777" w:rsidR="00B6705D" w:rsidRDefault="00B6705D">
      <w:pPr>
        <w:rPr>
          <w:rFonts w:ascii="STFangsong" w:eastAsia="STFangsong" w:hAnsi="STFangsong" w:cs="STFangsong"/>
          <w:b/>
          <w:sz w:val="24"/>
        </w:rPr>
      </w:pPr>
    </w:p>
    <w:p w14:paraId="4F69A621" w14:textId="77777777" w:rsidR="00B6705D" w:rsidRDefault="002B32BA" w:rsidP="00E504E2">
      <w:pPr>
        <w:numPr>
          <w:ilvl w:val="0"/>
          <w:numId w:val="3"/>
        </w:numPr>
        <w:spacing w:beforeLines="50" w:before="156" w:afterLines="50" w:after="156"/>
        <w:rPr>
          <w:rFonts w:ascii="STFangsong" w:eastAsia="STFangsong" w:hAnsi="STFangsong" w:cs="STFangsong"/>
          <w:b/>
          <w:sz w:val="28"/>
          <w:szCs w:val="28"/>
        </w:rPr>
      </w:pPr>
      <w:r>
        <w:rPr>
          <w:rFonts w:ascii="STFangsong" w:eastAsia="STFangsong" w:hAnsi="STFangsong" w:cs="STFangsong" w:hint="eastAsia"/>
          <w:b/>
          <w:sz w:val="28"/>
          <w:szCs w:val="28"/>
        </w:rPr>
        <w:t>培养过程要求</w:t>
      </w:r>
    </w:p>
    <w:p w14:paraId="23171290" w14:textId="77777777" w:rsidR="00B6705D" w:rsidRDefault="002B32BA">
      <w:pPr>
        <w:spacing w:line="360" w:lineRule="auto"/>
        <w:ind w:firstLineChars="200" w:firstLine="480"/>
        <w:rPr>
          <w:rFonts w:ascii="Times New Roman Regular" w:eastAsia="STFangsong" w:hAnsi="Times New Roman Regular" w:cs="Times New Roman Regular" w:hint="eastAsia"/>
          <w:bCs/>
          <w:sz w:val="24"/>
        </w:rPr>
      </w:pPr>
      <w:r>
        <w:rPr>
          <w:rFonts w:ascii="Times New Roman Regular" w:eastAsia="STFangsong" w:hAnsi="Times New Roman Regular" w:cs="Times New Roman Regular" w:hint="eastAsia"/>
          <w:bCs/>
          <w:sz w:val="24"/>
        </w:rPr>
        <w:t>硕士研究生应在入学后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1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个月内通过师生互选确定导师，在导师指导下制订培养计划。本学位点的课程由公共基础课、专业基础课、专业前沿课和专业选修课组成。课程学习总学分必须≥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30</w:t>
      </w:r>
      <w:r>
        <w:rPr>
          <w:rFonts w:ascii="Times New Roman Regular" w:eastAsia="STFangsong" w:hAnsi="Times New Roman Regular" w:cs="Times New Roman Regular"/>
          <w:bCs/>
          <w:sz w:val="24"/>
        </w:rPr>
        <w:t>，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其中教育学院开设的专业基础课、专业前沿课和专业选修课学分必须修满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23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个学分。</w:t>
      </w:r>
    </w:p>
    <w:p w14:paraId="472FD83B" w14:textId="77777777" w:rsidR="00B6705D" w:rsidRDefault="002B32BA" w:rsidP="00E504E2">
      <w:pPr>
        <w:numPr>
          <w:ilvl w:val="0"/>
          <w:numId w:val="3"/>
        </w:numPr>
        <w:spacing w:beforeLines="50" w:before="156" w:afterLines="50" w:after="156"/>
        <w:rPr>
          <w:rFonts w:ascii="STFangsong" w:eastAsia="STFangsong" w:hAnsi="STFangsong" w:cs="STFangsong"/>
          <w:b/>
          <w:sz w:val="28"/>
          <w:szCs w:val="28"/>
        </w:rPr>
      </w:pPr>
      <w:r>
        <w:rPr>
          <w:rFonts w:ascii="STFangsong" w:eastAsia="STFangsong" w:hAnsi="STFangsong" w:cs="STFangsong" w:hint="eastAsia"/>
          <w:b/>
          <w:sz w:val="28"/>
          <w:szCs w:val="28"/>
        </w:rPr>
        <w:t>学术成果要求</w:t>
      </w:r>
    </w:p>
    <w:p w14:paraId="118738F0" w14:textId="77777777" w:rsidR="00B6705D" w:rsidRDefault="002B32BA">
      <w:pPr>
        <w:spacing w:line="360" w:lineRule="auto"/>
        <w:ind w:firstLineChars="200" w:firstLine="480"/>
        <w:rPr>
          <w:rFonts w:ascii="Times New Roman Regular" w:eastAsia="STFangsong" w:hAnsi="Times New Roman Regular" w:cs="Times New Roman Regular" w:hint="eastAsia"/>
          <w:bCs/>
          <w:sz w:val="24"/>
        </w:rPr>
      </w:pPr>
      <w:r>
        <w:rPr>
          <w:rFonts w:ascii="Times New Roman Regular" w:eastAsia="STFangsong" w:hAnsi="Times New Roman Regular" w:cs="Times New Roman Regular" w:hint="eastAsia"/>
          <w:bCs/>
          <w:sz w:val="24"/>
        </w:rPr>
        <w:t>鼓励硕士研究生在权威学术刊物上公开发表高质量学术论文</w:t>
      </w:r>
      <w:r>
        <w:rPr>
          <w:rFonts w:ascii="Times New Roman Regular" w:eastAsia="STFangsong" w:hAnsi="Times New Roman Regular" w:cs="Times New Roman Regular"/>
          <w:bCs/>
          <w:sz w:val="24"/>
        </w:rPr>
        <w:t>，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但是否公开发表论文不作为取得答辩资格的先决条件。</w:t>
      </w:r>
    </w:p>
    <w:p w14:paraId="0B9FF913" w14:textId="77777777" w:rsidR="00B6705D" w:rsidRDefault="002B32BA" w:rsidP="00E504E2">
      <w:pPr>
        <w:numPr>
          <w:ilvl w:val="0"/>
          <w:numId w:val="3"/>
        </w:numPr>
        <w:spacing w:beforeLines="50" w:before="156" w:afterLines="50" w:after="156"/>
        <w:rPr>
          <w:rFonts w:ascii="STFangsong" w:eastAsia="STFangsong" w:hAnsi="STFangsong" w:cs="STFangsong"/>
          <w:b/>
          <w:sz w:val="28"/>
          <w:szCs w:val="28"/>
        </w:rPr>
      </w:pPr>
      <w:r>
        <w:rPr>
          <w:rFonts w:ascii="STFangsong" w:eastAsia="STFangsong" w:hAnsi="STFangsong" w:cs="STFangsong" w:hint="eastAsia"/>
          <w:b/>
          <w:sz w:val="28"/>
          <w:szCs w:val="28"/>
        </w:rPr>
        <w:t>学位论文</w:t>
      </w:r>
    </w:p>
    <w:p w14:paraId="132315FD" w14:textId="77777777" w:rsidR="00B6705D" w:rsidRDefault="002B32BA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 Regular" w:eastAsia="STFangsong" w:hAnsi="Times New Roman Regular" w:cs="Times New Roman Regular" w:hint="eastAsia"/>
          <w:bCs/>
          <w:sz w:val="24"/>
        </w:rPr>
      </w:pPr>
      <w:r>
        <w:rPr>
          <w:rFonts w:ascii="Times New Roman Regular" w:eastAsia="STFangsong" w:hAnsi="Times New Roman Regular" w:cs="Times New Roman Regular" w:hint="eastAsia"/>
          <w:b/>
          <w:sz w:val="24"/>
        </w:rPr>
        <w:t>学位论文开题、中期考核、预答辩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 xml:space="preserve"> 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硕士研究生应于第三学期进行学位论文开题答辩；申请学位论文开题前，应修满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30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个学分。硕士研究生应在第四学期进行中期检查答辩，第五学期进行预答辩。具体分别按照《硕士研究生学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lastRenderedPageBreak/>
        <w:t>位论文开题的规定细则》、《硕士研究生学位论文中期检查的规定细则》和《硕士研究生学位论文预答辩的规定细则》执行。硕士研究生应于第五学期末申请学位论文答辩，申请批准后进行正式答辩。</w:t>
      </w:r>
    </w:p>
    <w:p w14:paraId="440F3458" w14:textId="77777777" w:rsidR="00B6705D" w:rsidRDefault="002B32BA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 Regular" w:eastAsia="STFangsong" w:hAnsi="Times New Roman Regular" w:cs="Times New Roman Regular" w:hint="eastAsia"/>
          <w:bCs/>
          <w:sz w:val="24"/>
        </w:rPr>
      </w:pPr>
      <w:r>
        <w:rPr>
          <w:rFonts w:ascii="Times New Roman Regular" w:eastAsia="STFangsong" w:hAnsi="Times New Roman Regular" w:cs="Times New Roman Regular" w:hint="eastAsia"/>
          <w:b/>
          <w:sz w:val="24"/>
        </w:rPr>
        <w:t>规范性要求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 xml:space="preserve"> 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硕士学位论文一般要求正文不少于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4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万字，具体论文撰写格式参照《上海交通大学硕士学位论文格式模板》。</w:t>
      </w:r>
    </w:p>
    <w:p w14:paraId="1657FEF8" w14:textId="77777777" w:rsidR="00B6705D" w:rsidRDefault="002B32BA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 Regular" w:eastAsia="STFangsong" w:hAnsi="Times New Roman Regular" w:cs="Times New Roman Regular" w:hint="eastAsia"/>
          <w:bCs/>
          <w:sz w:val="24"/>
        </w:rPr>
      </w:pPr>
      <w:r>
        <w:rPr>
          <w:rFonts w:ascii="Times New Roman Regular" w:eastAsia="STFangsong" w:hAnsi="Times New Roman Regular" w:cs="Times New Roman Regular" w:hint="eastAsia"/>
          <w:b/>
          <w:sz w:val="24"/>
        </w:rPr>
        <w:t>质量及内容要求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 xml:space="preserve"> 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硕士学位论文的学术观点必须明确</w:t>
      </w:r>
      <w:r>
        <w:rPr>
          <w:rFonts w:ascii="Times New Roman Regular" w:eastAsia="STFangsong" w:hAnsi="Times New Roman Regular" w:cs="Times New Roman Regular"/>
          <w:bCs/>
          <w:sz w:val="24"/>
        </w:rPr>
        <w:t>；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论文选题具有一定理论或实际应用价值</w:t>
      </w:r>
      <w:r>
        <w:rPr>
          <w:rFonts w:ascii="Times New Roman Regular" w:eastAsia="STFangsong" w:hAnsi="Times New Roman Regular" w:cs="Times New Roman Regular"/>
          <w:bCs/>
          <w:sz w:val="24"/>
        </w:rPr>
        <w:t>；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选题要与专业研究方向一致，具有较为丰富的资料基础，具有学术可行性和创新性。</w:t>
      </w:r>
    </w:p>
    <w:p w14:paraId="48DD3241" w14:textId="218DB59E" w:rsidR="00B6705D" w:rsidRDefault="002B32BA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 Regular" w:eastAsia="STFangsong" w:hAnsi="Times New Roman Regular" w:cs="Times New Roman Regular" w:hint="eastAsia"/>
          <w:bCs/>
          <w:sz w:val="24"/>
        </w:rPr>
      </w:pPr>
      <w:r>
        <w:rPr>
          <w:rFonts w:ascii="Times New Roman Regular" w:eastAsia="STFangsong" w:hAnsi="Times New Roman Regular" w:cs="Times New Roman Regular" w:hint="eastAsia"/>
          <w:b/>
          <w:sz w:val="24"/>
        </w:rPr>
        <w:t>学术伦理要求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 xml:space="preserve"> 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学位论文应依照学术规范</w:t>
      </w:r>
      <w:r>
        <w:rPr>
          <w:rFonts w:ascii="Times New Roman Regular" w:eastAsia="STFangsong" w:hAnsi="Times New Roman Regular" w:cs="Times New Roman Regular"/>
          <w:bCs/>
          <w:sz w:val="24"/>
        </w:rPr>
        <w:t>，</w:t>
      </w:r>
      <w:r>
        <w:rPr>
          <w:rFonts w:ascii="Times New Roman Regular" w:eastAsia="STFangsong" w:hAnsi="Times New Roman Regular" w:cs="Times New Roman Regular" w:hint="eastAsia"/>
          <w:bCs/>
          <w:sz w:val="24"/>
        </w:rPr>
        <w:t>恪守学术伦理道德。</w:t>
      </w:r>
    </w:p>
    <w:p w14:paraId="547D2B9D" w14:textId="60FF0F3C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33F84B89" w14:textId="57769F55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7CCB748A" w14:textId="2442CB38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317AEB34" w14:textId="539DE4C9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6B5EC404" w14:textId="2D92B4DB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70310282" w14:textId="233A23F9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0882CCEB" w14:textId="1CFC1576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0DD00B4A" w14:textId="014DCAF0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206EFD61" w14:textId="5CFB41D0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2E18AA28" w14:textId="03449DBF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7A645A5C" w14:textId="76EB818B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43D5A7A8" w14:textId="768DC31A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3782ABF0" w14:textId="2B0AFAD1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5F44FB97" w14:textId="7474BD9F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3D9B80F0" w14:textId="11AE3A8D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6408F203" w14:textId="46393F2C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1D394BE9" w14:textId="77777777" w:rsidR="007462AB" w:rsidRDefault="007462AB" w:rsidP="007462AB">
      <w:pPr>
        <w:spacing w:line="360" w:lineRule="auto"/>
        <w:rPr>
          <w:rFonts w:ascii="Times New Roman Regular" w:eastAsia="STFangsong" w:hAnsi="Times New Roman Regular" w:cs="Times New Roman Regular" w:hint="eastAsia"/>
          <w:bCs/>
          <w:sz w:val="24"/>
        </w:rPr>
      </w:pPr>
    </w:p>
    <w:p w14:paraId="68DDD05C" w14:textId="77777777" w:rsidR="00B6705D" w:rsidRDefault="002B32BA" w:rsidP="00E504E2">
      <w:pPr>
        <w:numPr>
          <w:ilvl w:val="0"/>
          <w:numId w:val="3"/>
        </w:numPr>
        <w:spacing w:beforeLines="50" w:before="156" w:afterLines="50" w:after="156"/>
        <w:rPr>
          <w:rFonts w:ascii="STFangsong" w:eastAsia="STFangsong" w:hAnsi="STFangsong" w:cs="STFangsong"/>
          <w:b/>
          <w:sz w:val="28"/>
          <w:szCs w:val="28"/>
        </w:rPr>
      </w:pPr>
      <w:r>
        <w:rPr>
          <w:rFonts w:ascii="STFangsong" w:eastAsia="STFangsong" w:hAnsi="STFangsong" w:cs="STFangsong" w:hint="eastAsia"/>
          <w:b/>
          <w:sz w:val="28"/>
          <w:szCs w:val="28"/>
        </w:rPr>
        <w:lastRenderedPageBreak/>
        <w:t>课程设置</w:t>
      </w:r>
    </w:p>
    <w:tbl>
      <w:tblPr>
        <w:tblW w:w="857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358"/>
        <w:gridCol w:w="1338"/>
        <w:gridCol w:w="2262"/>
        <w:gridCol w:w="831"/>
        <w:gridCol w:w="1630"/>
        <w:gridCol w:w="1158"/>
      </w:tblGrid>
      <w:tr w:rsidR="00B6705D" w14:paraId="0A03439F" w14:textId="77777777">
        <w:trPr>
          <w:trHeight w:val="54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8F5714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color w:val="000000"/>
                <w:kern w:val="0"/>
                <w:szCs w:val="21"/>
                <w:lang w:bidi="ar"/>
              </w:rPr>
              <w:t>课程类别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0C6532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color w:val="000000"/>
                <w:kern w:val="0"/>
                <w:szCs w:val="21"/>
                <w:lang w:bidi="ar"/>
              </w:rPr>
              <w:t>课程代码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FB38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BC54D4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3FC8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color w:val="000000"/>
                <w:kern w:val="0"/>
                <w:szCs w:val="21"/>
                <w:lang w:bidi="ar"/>
              </w:rPr>
              <w:t>开课学期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0E8B50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b/>
                <w:bCs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B6705D" w14:paraId="1B47B11F" w14:textId="77777777">
        <w:trPr>
          <w:trHeight w:val="474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F025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公共基础课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9CED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FL6001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EFA4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学术英语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1B4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5AB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研一秋季学期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F61E" w14:textId="7F0475E6" w:rsidR="00B6705D" w:rsidRDefault="007462AB" w:rsidP="007462AB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  <w:t>学院开设</w:t>
            </w:r>
          </w:p>
        </w:tc>
      </w:tr>
      <w:tr w:rsidR="00B6705D" w14:paraId="616B24E1" w14:textId="77777777">
        <w:trPr>
          <w:trHeight w:val="641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AC08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8A77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MARX6001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F615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新时代中国特色社会主义理论与实践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7166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33DD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研一春季学期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3923" w14:textId="77777777" w:rsidR="00B6705D" w:rsidRDefault="007462AB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  <w:t>研究生院</w:t>
            </w:r>
          </w:p>
          <w:p w14:paraId="05B08F03" w14:textId="2931D04D" w:rsidR="007462AB" w:rsidRDefault="007462AB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  <w:t>开设</w:t>
            </w:r>
          </w:p>
        </w:tc>
      </w:tr>
      <w:tr w:rsidR="00B6705D" w14:paraId="2C5C04B1" w14:textId="77777777">
        <w:trPr>
          <w:trHeight w:val="560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ADD1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2236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MARX6003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520D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自然辩证法概论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8DCC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931E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研一春季学期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8445" w14:textId="77777777" w:rsidR="007462AB" w:rsidRDefault="007462AB" w:rsidP="007462AB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  <w:t>研究生院</w:t>
            </w:r>
          </w:p>
          <w:p w14:paraId="21A0AEBB" w14:textId="2F2128BA" w:rsidR="00B6705D" w:rsidRDefault="007462AB" w:rsidP="007462AB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  <w:t>开设</w:t>
            </w:r>
          </w:p>
        </w:tc>
      </w:tr>
      <w:tr w:rsidR="00B6705D" w14:paraId="15867813" w14:textId="77777777">
        <w:trPr>
          <w:trHeight w:val="488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BC16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专业基础课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8444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EDU6003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A3C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教育研究方法论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EF38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EEB8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研一秋季学期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C53C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71F6D657" w14:textId="77777777">
        <w:trPr>
          <w:trHeight w:val="483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2C3E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4154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EDU6007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288E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教育统计与计量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9EEF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1E60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研一秋季学期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23C4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54713F7B" w14:textId="77777777">
        <w:trPr>
          <w:trHeight w:val="514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B407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4417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EDU6201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EE22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教育的历史与比较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8F0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EE8F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研一秋季学期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AB96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2AF66F98" w14:textId="77777777">
        <w:trPr>
          <w:trHeight w:val="506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2F0C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9F47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EDU6002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17F2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教育学领域的学术写作、规范与伦理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7EBF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4B7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研一春季学期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F0AA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506FB35E" w14:textId="77777777">
        <w:trPr>
          <w:trHeight w:val="503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D8C9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专业前沿课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6432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EDU6101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AF72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高等教育学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AE17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5DA0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研一秋季学期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C8F3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最少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门、</w:t>
            </w:r>
          </w:p>
          <w:p w14:paraId="76EBD5A3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最低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分</w:t>
            </w:r>
          </w:p>
        </w:tc>
      </w:tr>
      <w:tr w:rsidR="00B6705D" w14:paraId="695DD6A3" w14:textId="77777777">
        <w:trPr>
          <w:trHeight w:val="4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0FF61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0B1A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EDU6301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9646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教育评价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CD4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F793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研一秋季学期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AEC0" w14:textId="77777777" w:rsidR="00B6705D" w:rsidRDefault="00B6705D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0A9F8CEF" w14:textId="77777777">
        <w:trPr>
          <w:trHeight w:val="535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11B7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85E7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GE6012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C264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学术报告与研讨会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3724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3E7D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研二秋季学期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219E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1A3D8757" w14:textId="77777777">
        <w:trPr>
          <w:trHeight w:val="548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5AD5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专业选修课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6516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EDU6005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D05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质性研究方法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664D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7EA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研一春季学期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941E" w14:textId="4B1420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最少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门、</w:t>
            </w:r>
          </w:p>
          <w:p w14:paraId="596F347D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最低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分</w:t>
            </w:r>
          </w:p>
        </w:tc>
      </w:tr>
      <w:tr w:rsidR="00B6705D" w14:paraId="78EE9CF0" w14:textId="77777777">
        <w:trPr>
          <w:trHeight w:val="543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C59C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C393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EDU6102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7FF9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教育心理学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355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57AB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研一春季学期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FCB0" w14:textId="77777777" w:rsidR="00B6705D" w:rsidRDefault="00B6705D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39B6DDFE" w14:textId="77777777">
        <w:trPr>
          <w:trHeight w:val="543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9B72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52C9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EDU6103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B1EE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教育社会学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A0D3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7C5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研一春季学期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1C13" w14:textId="77777777" w:rsidR="00B6705D" w:rsidRDefault="00B6705D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631053C2" w14:textId="77777777">
        <w:trPr>
          <w:trHeight w:val="56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31FD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9326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EDU6104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E349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学生学习与发展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302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15D6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研一春季学期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A742" w14:textId="77777777" w:rsidR="00B6705D" w:rsidRDefault="00B6705D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0B3E862E" w14:textId="77777777">
        <w:trPr>
          <w:trHeight w:val="497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2FF1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EAB1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EDU6501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86B5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学习科学与技术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91B6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E9A7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研一春季学期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934C" w14:textId="77777777" w:rsidR="00B6705D" w:rsidRDefault="00B6705D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5EF114CB" w14:textId="77777777">
        <w:trPr>
          <w:trHeight w:val="544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55B2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8D55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EDU7001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D45D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高阶定量研究方法（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CF7F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2190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研一春季学期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76C4" w14:textId="77777777" w:rsidR="00B6705D" w:rsidRDefault="00B6705D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  <w:tr w:rsidR="00B6705D" w14:paraId="067D329E" w14:textId="77777777">
        <w:trPr>
          <w:trHeight w:val="582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968C" w14:textId="77777777" w:rsidR="00B6705D" w:rsidRDefault="00B6705D">
            <w:pPr>
              <w:jc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5ACA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EDU7002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E0BC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高阶定量研究方法（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4E9C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86FF" w14:textId="77777777" w:rsidR="00B6705D" w:rsidRDefault="002B32BA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  <w:r>
              <w:rPr>
                <w:rFonts w:ascii="Times New Roman Regular" w:eastAsia="STFangsong" w:hAnsi="Times New Roman Regular" w:cs="Times New Roman Regular"/>
                <w:color w:val="000000"/>
                <w:kern w:val="0"/>
                <w:szCs w:val="21"/>
                <w:lang w:bidi="ar"/>
              </w:rPr>
              <w:t>研一春季学期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B3B0" w14:textId="77777777" w:rsidR="00B6705D" w:rsidRDefault="00B6705D">
            <w:pPr>
              <w:widowControl/>
              <w:jc w:val="center"/>
              <w:textAlignment w:val="center"/>
              <w:rPr>
                <w:rFonts w:ascii="Times New Roman Regular" w:eastAsia="STFangsong" w:hAnsi="Times New Roman Regular" w:cs="Times New Roman Regular" w:hint="eastAsia"/>
                <w:color w:val="000000"/>
                <w:szCs w:val="21"/>
              </w:rPr>
            </w:pPr>
          </w:p>
        </w:tc>
      </w:tr>
    </w:tbl>
    <w:p w14:paraId="0C0B9C69" w14:textId="77777777" w:rsidR="00B6705D" w:rsidRDefault="00B6705D"/>
    <w:sectPr w:rsidR="00B6705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145B" w14:textId="77777777" w:rsidR="00613FA0" w:rsidRDefault="00613FA0">
      <w:r>
        <w:separator/>
      </w:r>
    </w:p>
  </w:endnote>
  <w:endnote w:type="continuationSeparator" w:id="0">
    <w:p w14:paraId="632116AD" w14:textId="77777777" w:rsidR="00613FA0" w:rsidRDefault="0061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7531" w14:textId="77777777" w:rsidR="00B6705D" w:rsidRDefault="002B32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DEF66" wp14:editId="520611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61466" w14:textId="77777777" w:rsidR="00B6705D" w:rsidRDefault="002B32B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DEF6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DD61466" w14:textId="77777777" w:rsidR="00B6705D" w:rsidRDefault="002B32B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760A" w14:textId="77777777" w:rsidR="00613FA0" w:rsidRDefault="00613FA0">
      <w:r>
        <w:separator/>
      </w:r>
    </w:p>
  </w:footnote>
  <w:footnote w:type="continuationSeparator" w:id="0">
    <w:p w14:paraId="106D9BB2" w14:textId="77777777" w:rsidR="00613FA0" w:rsidRDefault="0061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F9EA6C"/>
    <w:multiLevelType w:val="singleLevel"/>
    <w:tmpl w:val="F5F9EA6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A660143"/>
    <w:multiLevelType w:val="hybridMultilevel"/>
    <w:tmpl w:val="DEFC14F2"/>
    <w:lvl w:ilvl="0" w:tplc="4FB690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9D3B47"/>
    <w:multiLevelType w:val="singleLevel"/>
    <w:tmpl w:val="5F9D3B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16810586">
    <w:abstractNumId w:val="2"/>
  </w:num>
  <w:num w:numId="2" w16cid:durableId="1547718910">
    <w:abstractNumId w:val="0"/>
  </w:num>
  <w:num w:numId="3" w16cid:durableId="37816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EFF4A76"/>
    <w:rsid w:val="6DBB62E4"/>
    <w:rsid w:val="7C675BDA"/>
    <w:rsid w:val="BEFF4A76"/>
    <w:rsid w:val="F7CEEF36"/>
    <w:rsid w:val="FEEBE1BB"/>
    <w:rsid w:val="00122750"/>
    <w:rsid w:val="002B32BA"/>
    <w:rsid w:val="00613FA0"/>
    <w:rsid w:val="007462AB"/>
    <w:rsid w:val="00A16A3A"/>
    <w:rsid w:val="00B6705D"/>
    <w:rsid w:val="00E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4B0AC"/>
  <w15:docId w15:val="{4B51209F-CCBD-49B9-856C-CDFB2108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2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E504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绒絮飞</cp:lastModifiedBy>
  <cp:revision>4</cp:revision>
  <dcterms:created xsi:type="dcterms:W3CDTF">2022-06-07T09:11:00Z</dcterms:created>
  <dcterms:modified xsi:type="dcterms:W3CDTF">2022-06-09T11:39:00Z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714A15EEA2A391D9B5A59E62C4F30CF3</vt:lpwstr>
  </property>
</Properties>
</file>