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eastAsia="宋体" w:cs="宋体"/>
          <w:b/>
          <w:bCs/>
          <w:sz w:val="32"/>
          <w:szCs w:val="32"/>
        </w:rPr>
      </w:pPr>
      <w:r>
        <w:rPr>
          <w:rFonts w:hint="eastAsia" w:ascii="宋体" w:hAnsi="宋体" w:eastAsia="宋体" w:cs="宋体"/>
          <w:b/>
          <w:bCs/>
          <w:sz w:val="32"/>
          <w:szCs w:val="32"/>
        </w:rPr>
        <w:t>教育学(040101)全日制博士培养方案</w:t>
      </w:r>
    </w:p>
    <w:p>
      <w:pPr>
        <w:numPr>
          <w:ilvl w:val="0"/>
          <w:numId w:val="1"/>
        </w:numPr>
        <w:spacing w:before="156" w:beforeLines="50" w:after="156" w:afterLines="50"/>
        <w:rPr>
          <w:rFonts w:ascii="宋体" w:hAnsi="宋体" w:eastAsia="宋体" w:cs="宋体"/>
          <w:b/>
          <w:sz w:val="28"/>
          <w:szCs w:val="28"/>
        </w:rPr>
      </w:pPr>
      <w:r>
        <w:rPr>
          <w:rFonts w:hint="eastAsia" w:ascii="宋体" w:hAnsi="宋体" w:eastAsia="宋体" w:cs="宋体"/>
          <w:b/>
          <w:sz w:val="28"/>
          <w:szCs w:val="28"/>
        </w:rPr>
        <w:t>基本信息</w:t>
      </w:r>
    </w:p>
    <w:tbl>
      <w:tblPr>
        <w:tblStyle w:val="6"/>
        <w:tblW w:w="4953" w:type="pct"/>
        <w:jc w:val="center"/>
        <w:tblLayout w:type="autofit"/>
        <w:tblCellMar>
          <w:top w:w="0" w:type="dxa"/>
          <w:left w:w="0" w:type="dxa"/>
          <w:bottom w:w="0" w:type="dxa"/>
          <w:right w:w="0" w:type="dxa"/>
        </w:tblCellMar>
      </w:tblPr>
      <w:tblGrid>
        <w:gridCol w:w="1379"/>
        <w:gridCol w:w="944"/>
        <w:gridCol w:w="1732"/>
        <w:gridCol w:w="1023"/>
        <w:gridCol w:w="2095"/>
        <w:gridCol w:w="1065"/>
      </w:tblGrid>
      <w:tr>
        <w:tblPrEx>
          <w:tblCellMar>
            <w:top w:w="0" w:type="dxa"/>
            <w:left w:w="0" w:type="dxa"/>
            <w:bottom w:w="0" w:type="dxa"/>
            <w:right w:w="0" w:type="dxa"/>
          </w:tblCellMar>
        </w:tblPrEx>
        <w:trPr>
          <w:trHeight w:val="520" w:hRule="exact"/>
          <w:jc w:val="center"/>
        </w:trPr>
        <w:tc>
          <w:tcPr>
            <w:tcW w:w="837"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b/>
                <w:bCs/>
                <w:szCs w:val="21"/>
              </w:rPr>
            </w:pPr>
            <w:r>
              <w:rPr>
                <w:rFonts w:hint="eastAsia" w:ascii="宋体" w:hAnsi="宋体" w:eastAsia="宋体" w:cs="宋体"/>
                <w:b/>
                <w:bCs/>
                <w:szCs w:val="21"/>
              </w:rPr>
              <w:t>院 系 名 称</w:t>
            </w:r>
          </w:p>
        </w:tc>
        <w:tc>
          <w:tcPr>
            <w:tcW w:w="2245" w:type="pct"/>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ascii="宋体" w:hAnsi="宋体" w:eastAsia="宋体" w:cs="宋体"/>
                <w:szCs w:val="21"/>
              </w:rPr>
            </w:pPr>
            <w:r>
              <w:rPr>
                <w:rFonts w:hint="eastAsia" w:ascii="宋体" w:hAnsi="宋体" w:eastAsia="宋体" w:cs="宋体"/>
                <w:szCs w:val="21"/>
              </w:rPr>
              <w:t>(350)教育学院</w:t>
            </w:r>
          </w:p>
        </w:tc>
        <w:tc>
          <w:tcPr>
            <w:tcW w:w="1271"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szCs w:val="21"/>
              </w:rPr>
            </w:pPr>
            <w:r>
              <w:rPr>
                <w:rFonts w:hint="eastAsia" w:ascii="宋体" w:hAnsi="宋体" w:eastAsia="宋体" w:cs="宋体"/>
                <w:b/>
                <w:bCs/>
                <w:szCs w:val="21"/>
              </w:rPr>
              <w:t>适 用 年 级</w:t>
            </w:r>
          </w:p>
        </w:tc>
        <w:tc>
          <w:tcPr>
            <w:tcW w:w="645"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ascii="宋体" w:hAnsi="宋体" w:eastAsia="宋体" w:cs="宋体"/>
                <w:szCs w:val="21"/>
              </w:rPr>
            </w:pPr>
            <w:r>
              <w:rPr>
                <w:rFonts w:hint="eastAsia" w:ascii="宋体" w:hAnsi="宋体" w:eastAsia="宋体" w:cs="宋体"/>
                <w:szCs w:val="21"/>
              </w:rPr>
              <w:t>2023</w:t>
            </w:r>
          </w:p>
        </w:tc>
      </w:tr>
      <w:tr>
        <w:tblPrEx>
          <w:tblCellMar>
            <w:top w:w="0" w:type="dxa"/>
            <w:left w:w="0" w:type="dxa"/>
            <w:bottom w:w="0" w:type="dxa"/>
            <w:right w:w="0" w:type="dxa"/>
          </w:tblCellMar>
        </w:tblPrEx>
        <w:trPr>
          <w:trHeight w:val="380" w:hRule="exact"/>
          <w:jc w:val="center"/>
        </w:trPr>
        <w:tc>
          <w:tcPr>
            <w:tcW w:w="837"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b/>
                <w:bCs/>
                <w:szCs w:val="21"/>
              </w:rPr>
            </w:pPr>
            <w:r>
              <w:rPr>
                <w:rFonts w:hint="eastAsia" w:ascii="宋体" w:hAnsi="宋体" w:eastAsia="宋体" w:cs="宋体"/>
                <w:b/>
                <w:bCs/>
                <w:szCs w:val="21"/>
              </w:rPr>
              <w:t>适 用 专 业</w:t>
            </w:r>
          </w:p>
        </w:tc>
        <w:tc>
          <w:tcPr>
            <w:tcW w:w="4162" w:type="pct"/>
            <w:gridSpan w:val="5"/>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ascii="宋体" w:hAnsi="宋体" w:eastAsia="宋体" w:cs="宋体"/>
                <w:szCs w:val="21"/>
              </w:rPr>
            </w:pPr>
            <w:bookmarkStart w:id="1" w:name="_GoBack"/>
            <w:bookmarkEnd w:id="1"/>
            <w:r>
              <w:rPr>
                <w:rFonts w:hint="eastAsia" w:ascii="宋体" w:hAnsi="宋体" w:eastAsia="宋体" w:cs="宋体"/>
                <w:szCs w:val="21"/>
              </w:rPr>
              <w:t>教育学(040101)</w:t>
            </w:r>
          </w:p>
        </w:tc>
      </w:tr>
      <w:tr>
        <w:tblPrEx>
          <w:tblCellMar>
            <w:top w:w="0" w:type="dxa"/>
            <w:left w:w="0" w:type="dxa"/>
            <w:bottom w:w="0" w:type="dxa"/>
            <w:right w:w="0" w:type="dxa"/>
          </w:tblCellMar>
        </w:tblPrEx>
        <w:trPr>
          <w:trHeight w:val="340" w:hRule="exact"/>
          <w:jc w:val="center"/>
        </w:trPr>
        <w:tc>
          <w:tcPr>
            <w:tcW w:w="837"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b/>
                <w:bCs/>
                <w:szCs w:val="21"/>
              </w:rPr>
            </w:pPr>
            <w:r>
              <w:rPr>
                <w:rFonts w:hint="eastAsia" w:ascii="宋体" w:hAnsi="宋体" w:eastAsia="宋体" w:cs="宋体"/>
                <w:b/>
                <w:bCs/>
                <w:szCs w:val="21"/>
              </w:rPr>
              <w:t>项 目 类 型</w:t>
            </w:r>
          </w:p>
        </w:tc>
        <w:tc>
          <w:tcPr>
            <w:tcW w:w="4162" w:type="pct"/>
            <w:gridSpan w:val="5"/>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ascii="宋体" w:hAnsi="宋体" w:eastAsia="宋体" w:cs="宋体"/>
                <w:szCs w:val="21"/>
              </w:rPr>
            </w:pPr>
            <w:r>
              <w:rPr>
                <w:rFonts w:hint="eastAsia" w:ascii="宋体" w:hAnsi="宋体" w:eastAsia="宋体" w:cs="宋体"/>
                <w:szCs w:val="21"/>
              </w:rPr>
              <w:t>全日制博士（普通）</w:t>
            </w:r>
          </w:p>
        </w:tc>
      </w:tr>
      <w:tr>
        <w:tblPrEx>
          <w:tblCellMar>
            <w:top w:w="0" w:type="dxa"/>
            <w:left w:w="0" w:type="dxa"/>
            <w:bottom w:w="0" w:type="dxa"/>
            <w:right w:w="0" w:type="dxa"/>
          </w:tblCellMar>
        </w:tblPrEx>
        <w:trPr>
          <w:trHeight w:val="545" w:hRule="exact"/>
          <w:jc w:val="center"/>
        </w:trPr>
        <w:tc>
          <w:tcPr>
            <w:tcW w:w="837"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b/>
                <w:bCs/>
                <w:szCs w:val="21"/>
              </w:rPr>
            </w:pPr>
            <w:r>
              <w:rPr>
                <w:rFonts w:hint="eastAsia" w:ascii="宋体" w:hAnsi="宋体" w:eastAsia="宋体" w:cs="宋体"/>
                <w:b/>
                <w:bCs/>
                <w:szCs w:val="21"/>
              </w:rPr>
              <w:t>最 低 学 分</w:t>
            </w:r>
          </w:p>
        </w:tc>
        <w:tc>
          <w:tcPr>
            <w:tcW w:w="573"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ascii="宋体" w:hAnsi="宋体" w:eastAsia="宋体" w:cs="宋体"/>
                <w:szCs w:val="21"/>
              </w:rPr>
            </w:pPr>
            <w:r>
              <w:rPr>
                <w:rFonts w:hint="eastAsia" w:ascii="宋体" w:hAnsi="宋体" w:eastAsia="宋体" w:cs="宋体"/>
                <w:szCs w:val="21"/>
              </w:rPr>
              <w:t>18</w:t>
            </w:r>
          </w:p>
        </w:tc>
        <w:tc>
          <w:tcPr>
            <w:tcW w:w="1051"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szCs w:val="21"/>
              </w:rPr>
            </w:pPr>
            <w:r>
              <w:rPr>
                <w:rFonts w:hint="eastAsia" w:ascii="宋体" w:hAnsi="宋体" w:eastAsia="宋体" w:cs="宋体"/>
                <w:b/>
                <w:bCs/>
                <w:szCs w:val="21"/>
              </w:rPr>
              <w:t>最低GPA学分</w:t>
            </w:r>
          </w:p>
        </w:tc>
        <w:tc>
          <w:tcPr>
            <w:tcW w:w="620"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hint="default" w:ascii="宋体" w:hAnsi="宋体" w:eastAsia="宋体" w:cs="宋体"/>
                <w:szCs w:val="21"/>
                <w:lang w:val="en-US" w:eastAsia="zh-CN"/>
              </w:rPr>
            </w:pPr>
            <w:r>
              <w:rPr>
                <w:rFonts w:hint="eastAsia" w:ascii="宋体" w:hAnsi="宋体" w:eastAsia="宋体" w:cs="宋体"/>
                <w:szCs w:val="21"/>
                <w:highlight w:val="none"/>
                <w:lang w:val="en-US" w:eastAsia="zh-CN"/>
              </w:rPr>
              <w:t>17</w:t>
            </w:r>
          </w:p>
        </w:tc>
        <w:tc>
          <w:tcPr>
            <w:tcW w:w="1271"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40" w:lineRule="exact"/>
              <w:ind w:left="20"/>
              <w:jc w:val="center"/>
              <w:rPr>
                <w:rFonts w:ascii="宋体" w:hAnsi="宋体" w:eastAsia="宋体" w:cs="宋体"/>
                <w:szCs w:val="21"/>
              </w:rPr>
            </w:pPr>
            <w:r>
              <w:rPr>
                <w:rFonts w:hint="eastAsia" w:ascii="宋体" w:hAnsi="宋体" w:eastAsia="宋体" w:cs="宋体"/>
                <w:b/>
                <w:bCs/>
                <w:szCs w:val="21"/>
              </w:rPr>
              <w:t>最低GPA</w:t>
            </w:r>
          </w:p>
        </w:tc>
        <w:tc>
          <w:tcPr>
            <w:tcW w:w="645" w:type="pc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16" w:lineRule="exact"/>
              <w:ind w:left="20"/>
              <w:jc w:val="center"/>
              <w:rPr>
                <w:rFonts w:ascii="宋体" w:hAnsi="宋体" w:eastAsia="宋体" w:cs="宋体"/>
                <w:szCs w:val="21"/>
              </w:rPr>
            </w:pPr>
            <w:r>
              <w:rPr>
                <w:rFonts w:ascii="Times New Roman Regular" w:hAnsi="Times New Roman Regular" w:eastAsia="华文仿宋" w:cs="Times New Roman Regular"/>
                <w:szCs w:val="21"/>
              </w:rPr>
              <w:t>2.7</w:t>
            </w:r>
          </w:p>
        </w:tc>
      </w:tr>
    </w:tbl>
    <w:p>
      <w:pPr>
        <w:spacing w:before="156" w:beforeLines="50" w:after="156" w:afterLines="50"/>
        <w:rPr>
          <w:rFonts w:ascii="宋体" w:hAnsi="宋体" w:eastAsia="宋体" w:cs="宋体"/>
          <w:b/>
          <w:sz w:val="28"/>
          <w:szCs w:val="28"/>
        </w:rPr>
      </w:pPr>
      <w:r>
        <w:rPr>
          <w:rFonts w:hint="eastAsia" w:ascii="宋体" w:hAnsi="宋体" w:eastAsia="宋体" w:cs="宋体"/>
          <w:b/>
          <w:sz w:val="28"/>
        </w:rPr>
        <w:t>二、</w:t>
      </w:r>
      <w:r>
        <w:rPr>
          <w:rFonts w:hint="eastAsia" w:ascii="宋体" w:hAnsi="宋体" w:eastAsia="宋体" w:cs="宋体"/>
          <w:b/>
          <w:sz w:val="28"/>
          <w:szCs w:val="28"/>
        </w:rPr>
        <w:t>学科简介</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上海交通大学的教育学学科自1985年高等教育研究室成立以来，历经30余载学科发展积淀，走过20余年学术型人才培养之路，培养了一批从事教育研究、投身教育事业的学术科研人才。</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经过持续努力，本学科已经在世界一流大学研究、学生发展与人才成长、课程与教学论、教育政策与领导等研究领域形成了优势。经过长期积累，</w:t>
      </w:r>
      <w:r>
        <w:rPr>
          <w:rFonts w:ascii="宋体" w:hAnsi="宋体" w:eastAsia="宋体" w:cs="宋体"/>
          <w:bCs/>
          <w:sz w:val="24"/>
        </w:rPr>
        <w:t>形成了鲜明的办学特色：一是以定量和实证研究为主要手段；二是理论研究和政策咨询紧密结合；三是领先的国际化战略。</w:t>
      </w:r>
    </w:p>
    <w:p>
      <w:pPr>
        <w:spacing w:line="360" w:lineRule="auto"/>
        <w:ind w:firstLine="480" w:firstLineChars="200"/>
        <w:rPr>
          <w:rFonts w:ascii="宋体" w:hAnsi="宋体" w:eastAsia="宋体" w:cs="宋体"/>
          <w:bCs/>
          <w:sz w:val="24"/>
        </w:rPr>
      </w:pPr>
      <w:r>
        <w:rPr>
          <w:rFonts w:ascii="宋体" w:hAnsi="宋体" w:eastAsia="宋体" w:cs="宋体"/>
          <w:bCs/>
          <w:sz w:val="24"/>
        </w:rPr>
        <w:t>2020</w:t>
      </w:r>
      <w:r>
        <w:rPr>
          <w:rFonts w:hint="eastAsia" w:ascii="宋体" w:hAnsi="宋体" w:eastAsia="宋体" w:cs="宋体"/>
          <w:bCs/>
          <w:sz w:val="24"/>
        </w:rPr>
        <w:t>年教育学院成立，202</w:t>
      </w:r>
      <w:r>
        <w:rPr>
          <w:rFonts w:ascii="宋体" w:hAnsi="宋体" w:eastAsia="宋体" w:cs="宋体"/>
          <w:bCs/>
          <w:sz w:val="24"/>
        </w:rPr>
        <w:t>2</w:t>
      </w:r>
      <w:r>
        <w:rPr>
          <w:rFonts w:hint="eastAsia" w:ascii="宋体" w:hAnsi="宋体" w:eastAsia="宋体" w:cs="宋体"/>
          <w:bCs/>
          <w:sz w:val="24"/>
        </w:rPr>
        <w:t>年获批教育学一级学科博士学位点。在新的发展阶段，本学科点将依托三大研究基地、八个研究中心以及两个跨学科研究平台，培养高水平、有热忱的教育科学研究专门人才。</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培养目标</w:t>
      </w:r>
    </w:p>
    <w:p>
      <w:pPr>
        <w:spacing w:line="360" w:lineRule="auto"/>
        <w:rPr>
          <w:rFonts w:ascii="宋体" w:hAnsi="宋体" w:eastAsia="宋体" w:cs="宋体"/>
          <w:bCs/>
          <w:sz w:val="24"/>
        </w:rPr>
      </w:pPr>
      <w:r>
        <w:rPr>
          <w:rFonts w:hint="eastAsia" w:ascii="宋体" w:hAnsi="宋体" w:eastAsia="宋体" w:cs="宋体"/>
          <w:bCs/>
          <w:sz w:val="24"/>
        </w:rPr>
        <w:t>（一） 热爱祖国，拥护党和国家的路线、方针、政策，践行社会主义核心价值观。遵纪守法，明礼诚信，遵循学术伦理，具有科学、严谨的学术态度，坚守学术研究的社会责任。</w:t>
      </w:r>
    </w:p>
    <w:p>
      <w:pPr>
        <w:spacing w:line="360" w:lineRule="auto"/>
        <w:rPr>
          <w:rFonts w:ascii="宋体" w:hAnsi="宋体" w:eastAsia="宋体" w:cs="宋体"/>
          <w:bCs/>
          <w:sz w:val="24"/>
        </w:rPr>
      </w:pPr>
      <w:r>
        <w:rPr>
          <w:rFonts w:hint="eastAsia" w:ascii="宋体" w:hAnsi="宋体" w:eastAsia="宋体" w:cs="宋体"/>
          <w:bCs/>
          <w:sz w:val="24"/>
        </w:rPr>
        <w:t>（二） 具有坚实宽广的理论基础和系统深入专业知识，掌握科学研究的先进方法。能够独立地、创造性地从事科研工作，在本学科取得理论或实践上的创造性研究成果。</w:t>
      </w:r>
    </w:p>
    <w:p>
      <w:pPr>
        <w:spacing w:line="360" w:lineRule="auto"/>
        <w:rPr>
          <w:rFonts w:ascii="宋体" w:hAnsi="宋体" w:eastAsia="宋体" w:cs="宋体"/>
          <w:bCs/>
          <w:sz w:val="24"/>
        </w:rPr>
      </w:pPr>
      <w:r>
        <w:rPr>
          <w:rFonts w:hint="eastAsia" w:ascii="宋体" w:hAnsi="宋体" w:eastAsia="宋体" w:cs="宋体"/>
          <w:bCs/>
          <w:sz w:val="24"/>
        </w:rPr>
        <w:t>（三） 站在本门学科发展方向及国际学术研究前沿，熟悉国内外教育理论、政策与实践，以及最新进展和研究成果。能够从国际比较角度分析中国教育理论与实践、改革与发展问题。</w:t>
      </w:r>
    </w:p>
    <w:p>
      <w:pPr>
        <w:spacing w:line="360" w:lineRule="auto"/>
        <w:rPr>
          <w:rFonts w:ascii="宋体" w:hAnsi="宋体" w:eastAsia="宋体" w:cs="宋体"/>
          <w:bCs/>
          <w:sz w:val="24"/>
        </w:rPr>
      </w:pPr>
      <w:r>
        <w:rPr>
          <w:rFonts w:hint="eastAsia" w:ascii="宋体" w:hAnsi="宋体" w:eastAsia="宋体" w:cs="宋体"/>
          <w:bCs/>
          <w:sz w:val="24"/>
        </w:rPr>
        <w:t>（四） 立足本土文化，厚植家国情怀。具有敏锐的教育问题意识和开阔的学术视野。毕业后能独立从事高层次的教育理论与实践研究，胜任教育学及其相关专业的教学、科研和管理工作。</w:t>
      </w:r>
    </w:p>
    <w:p>
      <w:pPr>
        <w:spacing w:line="360" w:lineRule="auto"/>
        <w:rPr>
          <w:rFonts w:ascii="宋体" w:hAnsi="宋体" w:eastAsia="宋体" w:cs="宋体"/>
          <w:bCs/>
          <w:sz w:val="24"/>
        </w:rPr>
      </w:pPr>
      <w:r>
        <w:rPr>
          <w:rFonts w:hint="eastAsia" w:ascii="宋体" w:hAnsi="宋体" w:eastAsia="宋体" w:cs="宋体"/>
          <w:bCs/>
          <w:sz w:val="24"/>
        </w:rPr>
        <w:t>（五） 熟练掌握并应用一门外国语，能独立查阅并较为系统地分析外文专业文献。具备瞄准国际学术前沿，开展学术研究和学术交流、运用外文撰写学术论文的能力。</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培养方式及学习年限</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全日制。基本学习年限为4年。</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课程设置及学分要求</w:t>
      </w:r>
    </w:p>
    <w:p>
      <w:pPr>
        <w:widowControl/>
        <w:spacing w:line="360" w:lineRule="auto"/>
        <w:ind w:firstLine="480" w:firstLineChars="200"/>
        <w:rPr>
          <w:rFonts w:ascii="宋体" w:hAnsi="宋体" w:eastAsia="宋体" w:cs="宋体"/>
        </w:rPr>
      </w:pPr>
      <w:r>
        <w:rPr>
          <w:rFonts w:hint="eastAsia" w:ascii="宋体" w:hAnsi="宋体" w:eastAsia="宋体" w:cs="宋体"/>
          <w:color w:val="000000"/>
          <w:kern w:val="0"/>
          <w:sz w:val="24"/>
          <w:lang w:bidi="ar"/>
        </w:rPr>
        <w:t>进入答辩资格审核环节前至少应完成18学分。其中，公共基础课6学分，专业基础课9学分，专业选修课2学分，学术报告与研讨会1学分。</w:t>
      </w:r>
    </w:p>
    <w:tbl>
      <w:tblPr>
        <w:tblStyle w:val="6"/>
        <w:tblW w:w="4856" w:type="pct"/>
        <w:tblInd w:w="0" w:type="dxa"/>
        <w:tblLayout w:type="fixed"/>
        <w:tblCellMar>
          <w:top w:w="0" w:type="dxa"/>
          <w:left w:w="108" w:type="dxa"/>
          <w:bottom w:w="0" w:type="dxa"/>
          <w:right w:w="108" w:type="dxa"/>
        </w:tblCellMar>
      </w:tblPr>
      <w:tblGrid>
        <w:gridCol w:w="1976"/>
        <w:gridCol w:w="3523"/>
        <w:gridCol w:w="725"/>
        <w:gridCol w:w="2053"/>
      </w:tblGrid>
      <w:tr>
        <w:tblPrEx>
          <w:tblCellMar>
            <w:top w:w="0" w:type="dxa"/>
            <w:left w:w="108" w:type="dxa"/>
            <w:bottom w:w="0" w:type="dxa"/>
            <w:right w:w="108" w:type="dxa"/>
          </w:tblCellMar>
        </w:tblPrEx>
        <w:trPr>
          <w:trHeight w:val="704" w:hRule="atLeast"/>
        </w:trPr>
        <w:tc>
          <w:tcPr>
            <w:tcW w:w="1193" w:type="pct"/>
            <w:tcBorders>
              <w:top w:val="single" w:color="000000" w:sz="4" w:space="0"/>
              <w:left w:val="single" w:color="000000" w:sz="4" w:space="0"/>
              <w:bottom w:val="nil"/>
              <w:right w:val="single" w:color="000000" w:sz="4" w:space="0"/>
            </w:tcBorders>
            <w:shd w:val="clear" w:color="auto" w:fill="auto"/>
            <w:vAlign w:val="center"/>
          </w:tcPr>
          <w:p>
            <w:pPr>
              <w:widowControl/>
              <w:ind w:firstLine="422" w:firstLineChars="200"/>
              <w:jc w:val="left"/>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课程模块</w:t>
            </w:r>
          </w:p>
        </w:tc>
        <w:tc>
          <w:tcPr>
            <w:tcW w:w="2128" w:type="pct"/>
            <w:tcBorders>
              <w:top w:val="single" w:color="000000" w:sz="4" w:space="0"/>
              <w:left w:val="single" w:color="000000" w:sz="4" w:space="0"/>
              <w:bottom w:val="nil"/>
              <w:right w:val="single" w:color="000000" w:sz="4" w:space="0"/>
            </w:tcBorders>
            <w:shd w:val="clear" w:color="auto" w:fill="auto"/>
            <w:vAlign w:val="center"/>
          </w:tcPr>
          <w:p>
            <w:pPr>
              <w:widowControl/>
              <w:ind w:firstLine="1265" w:firstLineChars="600"/>
              <w:jc w:val="left"/>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课程名称</w:t>
            </w:r>
          </w:p>
        </w:tc>
        <w:tc>
          <w:tcPr>
            <w:tcW w:w="43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学分</w:t>
            </w:r>
          </w:p>
        </w:tc>
        <w:tc>
          <w:tcPr>
            <w:tcW w:w="1240" w:type="pct"/>
            <w:tcBorders>
              <w:top w:val="single" w:color="000000" w:sz="4" w:space="0"/>
              <w:left w:val="single" w:color="000000" w:sz="4" w:space="0"/>
              <w:bottom w:val="nil"/>
              <w:right w:val="single" w:color="000000" w:sz="4" w:space="0"/>
            </w:tcBorders>
            <w:shd w:val="clear" w:color="auto" w:fill="auto"/>
            <w:vAlign w:val="center"/>
          </w:tcPr>
          <w:p>
            <w:pPr>
              <w:widowControl/>
              <w:ind w:firstLine="422" w:firstLineChars="200"/>
              <w:jc w:val="left"/>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开课学期</w:t>
            </w:r>
          </w:p>
        </w:tc>
      </w:tr>
      <w:tr>
        <w:tblPrEx>
          <w:tblCellMar>
            <w:top w:w="0" w:type="dxa"/>
            <w:left w:w="108" w:type="dxa"/>
            <w:bottom w:w="0" w:type="dxa"/>
            <w:right w:w="108" w:type="dxa"/>
          </w:tblCellMar>
        </w:tblPrEx>
        <w:trPr>
          <w:trHeight w:val="440" w:hRule="atLeast"/>
        </w:trPr>
        <w:tc>
          <w:tcPr>
            <w:tcW w:w="1193" w:type="pct"/>
            <w:vMerge w:val="restart"/>
            <w:tcBorders>
              <w:top w:val="single" w:color="000000" w:sz="4" w:space="0"/>
              <w:left w:val="single" w:color="000000" w:sz="4" w:space="0"/>
              <w:right w:val="single" w:color="000000" w:sz="4" w:space="0"/>
            </w:tcBorders>
            <w:shd w:val="clear" w:color="auto" w:fill="auto"/>
            <w:vAlign w:val="center"/>
          </w:tcPr>
          <w:p>
            <w:pPr>
              <w:widowControl/>
              <w:ind w:firstLine="420" w:firstLineChars="2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公共基础课</w:t>
            </w:r>
          </w:p>
          <w:p>
            <w:pPr>
              <w:widowControl/>
              <w:ind w:firstLine="210" w:firstLineChars="100"/>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（必修6学分）</w:t>
            </w: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30" w:firstLineChars="300"/>
              <w:jc w:val="left"/>
              <w:textAlignment w:val="center"/>
              <w:rPr>
                <w:rFonts w:ascii="宋体" w:hAnsi="宋体" w:eastAsia="宋体" w:cs="宋体"/>
                <w:color w:val="000000"/>
                <w:szCs w:val="21"/>
              </w:rPr>
            </w:pPr>
            <w:r>
              <w:rPr>
                <w:rFonts w:hint="eastAsia" w:ascii="宋体" w:hAnsi="宋体" w:eastAsia="宋体" w:cs="宋体"/>
                <w:color w:val="000000"/>
                <w:szCs w:val="21"/>
              </w:rPr>
              <w:t>中国马克思主义与当代</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ind w:firstLine="210" w:firstLineChars="100"/>
              <w:rPr>
                <w:rFonts w:ascii="宋体" w:hAnsi="宋体" w:eastAsia="宋体" w:cs="宋体"/>
                <w:color w:val="000000"/>
                <w:szCs w:val="21"/>
              </w:rPr>
            </w:pPr>
            <w:r>
              <w:rPr>
                <w:rFonts w:hint="eastAsia" w:ascii="宋体" w:hAnsi="宋体" w:eastAsia="宋体" w:cs="宋体"/>
              </w:rPr>
              <w:t>2</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ind w:firstLine="210" w:firstLineChars="100"/>
              <w:rPr>
                <w:rFonts w:ascii="宋体" w:hAnsi="宋体" w:eastAsia="宋体" w:cs="宋体"/>
                <w:color w:val="000000"/>
                <w:szCs w:val="21"/>
              </w:rPr>
            </w:pPr>
            <w:r>
              <w:rPr>
                <w:rFonts w:hint="eastAsia" w:ascii="宋体" w:hAnsi="宋体" w:eastAsia="宋体" w:cs="宋体"/>
              </w:rPr>
              <w:t>博一秋季学期</w:t>
            </w:r>
          </w:p>
        </w:tc>
      </w:tr>
      <w:tr>
        <w:tblPrEx>
          <w:tblCellMar>
            <w:top w:w="0" w:type="dxa"/>
            <w:left w:w="108" w:type="dxa"/>
            <w:bottom w:w="0" w:type="dxa"/>
            <w:right w:w="108" w:type="dxa"/>
          </w:tblCellMar>
        </w:tblPrEx>
        <w:trPr>
          <w:trHeight w:val="440" w:hRule="atLeast"/>
        </w:trPr>
        <w:tc>
          <w:tcPr>
            <w:tcW w:w="1193" w:type="pct"/>
            <w:vMerge w:val="continue"/>
            <w:tcBorders>
              <w:left w:val="single" w:color="000000"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szCs w:val="21"/>
              </w:rPr>
            </w:pP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ind w:firstLine="1260" w:firstLineChars="600"/>
              <w:jc w:val="left"/>
              <w:textAlignment w:val="center"/>
              <w:rPr>
                <w:rFonts w:ascii="宋体" w:hAnsi="宋体" w:eastAsia="宋体" w:cs="宋体"/>
                <w:color w:val="000000"/>
                <w:szCs w:val="21"/>
              </w:rPr>
            </w:pPr>
            <w:r>
              <w:rPr>
                <w:rFonts w:hint="eastAsia" w:ascii="宋体" w:hAnsi="宋体" w:eastAsia="宋体" w:cs="宋体"/>
                <w:color w:val="000000"/>
                <w:szCs w:val="21"/>
              </w:rPr>
              <w:t>学术英语</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ind w:firstLine="210" w:firstLineChars="100"/>
              <w:rPr>
                <w:rFonts w:ascii="宋体" w:hAnsi="宋体" w:eastAsia="宋体" w:cs="宋体"/>
                <w:color w:val="000000"/>
                <w:szCs w:val="21"/>
              </w:rPr>
            </w:pPr>
            <w:r>
              <w:rPr>
                <w:rFonts w:hint="eastAsia" w:ascii="宋体" w:hAnsi="宋体" w:eastAsia="宋体" w:cs="宋体"/>
              </w:rPr>
              <w:t>2</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ind w:firstLine="210" w:firstLineChars="100"/>
              <w:rPr>
                <w:rFonts w:ascii="宋体" w:hAnsi="宋体" w:eastAsia="宋体" w:cs="宋体"/>
                <w:color w:val="000000"/>
                <w:szCs w:val="21"/>
              </w:rPr>
            </w:pPr>
            <w:r>
              <w:rPr>
                <w:rFonts w:hint="eastAsia" w:ascii="宋体" w:hAnsi="宋体" w:eastAsia="宋体" w:cs="宋体"/>
              </w:rPr>
              <w:t>博一秋季学期</w:t>
            </w:r>
          </w:p>
        </w:tc>
      </w:tr>
      <w:tr>
        <w:tblPrEx>
          <w:tblCellMar>
            <w:top w:w="0" w:type="dxa"/>
            <w:left w:w="108" w:type="dxa"/>
            <w:bottom w:w="0" w:type="dxa"/>
            <w:right w:w="108" w:type="dxa"/>
          </w:tblCellMar>
        </w:tblPrEx>
        <w:trPr>
          <w:trHeight w:val="425" w:hRule="atLeast"/>
        </w:trPr>
        <w:tc>
          <w:tcPr>
            <w:tcW w:w="1193" w:type="pct"/>
            <w:vMerge w:val="continue"/>
            <w:tcBorders>
              <w:left w:val="single" w:color="000000" w:sz="4" w:space="0"/>
              <w:bottom w:val="single" w:color="000000"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szCs w:val="21"/>
              </w:rPr>
            </w:pP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jc w:val="left"/>
              <w:rPr>
                <w:rFonts w:ascii="宋体" w:hAnsi="宋体" w:eastAsia="宋体" w:cs="宋体"/>
                <w:color w:val="000000"/>
                <w:szCs w:val="21"/>
              </w:rPr>
            </w:pPr>
            <w:r>
              <w:rPr>
                <w:rFonts w:hint="eastAsia" w:ascii="宋体" w:hAnsi="宋体" w:eastAsia="宋体" w:cs="宋体"/>
              </w:rPr>
              <w:t>教育学领域的学术写作、规范与伦理</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2</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博一秋季学期</w:t>
            </w:r>
          </w:p>
        </w:tc>
      </w:tr>
      <w:tr>
        <w:tblPrEx>
          <w:tblCellMar>
            <w:top w:w="0" w:type="dxa"/>
            <w:left w:w="108" w:type="dxa"/>
            <w:bottom w:w="0" w:type="dxa"/>
            <w:right w:w="108" w:type="dxa"/>
          </w:tblCellMar>
        </w:tblPrEx>
        <w:trPr>
          <w:trHeight w:val="564" w:hRule="atLeast"/>
        </w:trPr>
        <w:tc>
          <w:tcPr>
            <w:tcW w:w="1193" w:type="pct"/>
            <w:vMerge w:val="restart"/>
            <w:tcBorders>
              <w:top w:val="single" w:color="000000" w:sz="4" w:space="0"/>
              <w:left w:val="single" w:color="000000" w:sz="4" w:space="0"/>
              <w:right w:val="single" w:color="000000" w:sz="4" w:space="0"/>
            </w:tcBorders>
            <w:shd w:val="clear" w:color="auto" w:fill="auto"/>
            <w:vAlign w:val="center"/>
          </w:tcPr>
          <w:p>
            <w:pPr>
              <w:widowControl/>
              <w:ind w:firstLine="420" w:firstLineChars="2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专业先修课*</w:t>
            </w:r>
          </w:p>
          <w:p>
            <w:pPr>
              <w:widowControl/>
              <w:ind w:firstLine="210" w:firstLineChars="1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（必修0学分）</w:t>
            </w: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ind w:firstLine="1260" w:firstLineChars="600"/>
              <w:jc w:val="left"/>
              <w:textAlignment w:val="center"/>
              <w:rPr>
                <w:rFonts w:ascii="宋体" w:hAnsi="宋体" w:eastAsia="宋体" w:cs="宋体"/>
                <w:color w:val="000000"/>
                <w:szCs w:val="21"/>
              </w:rPr>
            </w:pPr>
            <w:r>
              <w:rPr>
                <w:rFonts w:hint="eastAsia" w:ascii="宋体" w:hAnsi="宋体" w:eastAsia="宋体" w:cs="宋体"/>
              </w:rPr>
              <w:t>教育原理</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2</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博一秋季学期</w:t>
            </w:r>
          </w:p>
        </w:tc>
      </w:tr>
      <w:tr>
        <w:tblPrEx>
          <w:tblCellMar>
            <w:top w:w="0" w:type="dxa"/>
            <w:left w:w="108" w:type="dxa"/>
            <w:bottom w:w="0" w:type="dxa"/>
            <w:right w:w="108" w:type="dxa"/>
          </w:tblCellMar>
        </w:tblPrEx>
        <w:trPr>
          <w:trHeight w:val="544" w:hRule="atLeast"/>
        </w:trPr>
        <w:tc>
          <w:tcPr>
            <w:tcW w:w="1193" w:type="pct"/>
            <w:vMerge w:val="continue"/>
            <w:tcBorders>
              <w:left w:val="single" w:color="000000" w:sz="4" w:space="0"/>
              <w:bottom w:val="single" w:color="000000"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kern w:val="0"/>
                <w:szCs w:val="21"/>
                <w:lang w:bidi="ar"/>
              </w:rPr>
            </w:pP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ind w:firstLine="840" w:firstLineChars="400"/>
              <w:jc w:val="left"/>
              <w:textAlignment w:val="center"/>
              <w:rPr>
                <w:rFonts w:ascii="宋体" w:hAnsi="宋体" w:eastAsia="宋体" w:cs="宋体"/>
                <w:color w:val="000000"/>
                <w:szCs w:val="21"/>
              </w:rPr>
            </w:pPr>
            <w:r>
              <w:rPr>
                <w:rFonts w:hint="eastAsia" w:ascii="宋体" w:hAnsi="宋体" w:eastAsia="宋体" w:cs="宋体"/>
              </w:rPr>
              <w:t>教育的历史与比较</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3</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博一秋季学期</w:t>
            </w:r>
          </w:p>
        </w:tc>
      </w:tr>
      <w:tr>
        <w:tblPrEx>
          <w:tblCellMar>
            <w:top w:w="0" w:type="dxa"/>
            <w:left w:w="108" w:type="dxa"/>
            <w:bottom w:w="0" w:type="dxa"/>
            <w:right w:w="108" w:type="dxa"/>
          </w:tblCellMar>
        </w:tblPrEx>
        <w:trPr>
          <w:trHeight w:val="481" w:hRule="atLeast"/>
        </w:trPr>
        <w:tc>
          <w:tcPr>
            <w:tcW w:w="1193"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专业基础课</w:t>
            </w:r>
          </w:p>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（必修9学分）</w:t>
            </w: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ind w:firstLine="840" w:firstLineChars="400"/>
              <w:jc w:val="left"/>
              <w:textAlignment w:val="center"/>
              <w:rPr>
                <w:rFonts w:ascii="宋体" w:hAnsi="宋体" w:eastAsia="宋体" w:cs="宋体"/>
                <w:szCs w:val="21"/>
              </w:rPr>
            </w:pPr>
            <w:r>
              <w:rPr>
                <w:rFonts w:hint="eastAsia" w:ascii="宋体" w:hAnsi="宋体" w:eastAsia="宋体" w:cs="宋体"/>
              </w:rPr>
              <w:t>教育学专题研究</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szCs w:val="21"/>
              </w:rPr>
              <w:t>3</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rPr>
              <w:t>博一秋季学期</w:t>
            </w:r>
          </w:p>
        </w:tc>
      </w:tr>
      <w:tr>
        <w:tblPrEx>
          <w:tblCellMar>
            <w:top w:w="0" w:type="dxa"/>
            <w:left w:w="108" w:type="dxa"/>
            <w:bottom w:w="0" w:type="dxa"/>
            <w:right w:w="108" w:type="dxa"/>
          </w:tblCellMar>
        </w:tblPrEx>
        <w:trPr>
          <w:trHeight w:val="481" w:hRule="atLeast"/>
        </w:trPr>
        <w:tc>
          <w:tcPr>
            <w:tcW w:w="1193" w:type="pct"/>
            <w:vMerge w:val="continue"/>
            <w:tcBorders>
              <w:left w:val="single" w:color="000000"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kern w:val="0"/>
                <w:szCs w:val="21"/>
                <w:lang w:bidi="ar"/>
              </w:rPr>
            </w:pP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center"/>
              <w:textAlignment w:val="center"/>
              <w:rPr>
                <w:rFonts w:ascii="宋体" w:hAnsi="宋体" w:eastAsia="宋体" w:cs="宋体"/>
              </w:rPr>
            </w:pPr>
            <w:r>
              <w:rPr>
                <w:rFonts w:hint="eastAsia" w:ascii="宋体" w:hAnsi="宋体" w:eastAsia="宋体" w:cs="宋体"/>
              </w:rPr>
              <w:t>院校研究与大学战略规划</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3</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w:t>
            </w:r>
            <w:r>
              <w:rPr>
                <w:rFonts w:hint="eastAsia" w:ascii="宋体" w:hAnsi="宋体" w:eastAsia="宋体" w:cs="宋体"/>
                <w:lang w:val="en-US" w:eastAsia="zh-CN"/>
              </w:rPr>
              <w:t>春</w:t>
            </w:r>
            <w:r>
              <w:rPr>
                <w:rFonts w:hint="eastAsia" w:ascii="宋体" w:hAnsi="宋体" w:eastAsia="宋体" w:cs="宋体"/>
              </w:rPr>
              <w:t>季学期</w:t>
            </w:r>
          </w:p>
        </w:tc>
      </w:tr>
      <w:tr>
        <w:tblPrEx>
          <w:tblCellMar>
            <w:top w:w="0" w:type="dxa"/>
            <w:left w:w="108" w:type="dxa"/>
            <w:bottom w:w="0" w:type="dxa"/>
            <w:right w:w="108" w:type="dxa"/>
          </w:tblCellMar>
        </w:tblPrEx>
        <w:trPr>
          <w:trHeight w:val="481" w:hRule="atLeast"/>
        </w:trPr>
        <w:tc>
          <w:tcPr>
            <w:tcW w:w="1193" w:type="pct"/>
            <w:vMerge w:val="continue"/>
            <w:tcBorders>
              <w:left w:val="single" w:color="000000"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kern w:val="0"/>
                <w:szCs w:val="21"/>
                <w:lang w:bidi="ar"/>
              </w:rPr>
            </w:pP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center"/>
              <w:textAlignment w:val="center"/>
              <w:rPr>
                <w:rFonts w:ascii="宋体" w:hAnsi="宋体" w:eastAsia="宋体" w:cs="宋体"/>
                <w:color w:val="000000"/>
                <w:szCs w:val="21"/>
              </w:rPr>
            </w:pPr>
            <w:r>
              <w:rPr>
                <w:rFonts w:hint="eastAsia" w:ascii="宋体" w:hAnsi="宋体" w:eastAsia="宋体" w:cs="宋体"/>
              </w:rPr>
              <w:t>世界一流大学专题研究</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3</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博一春季学期</w:t>
            </w:r>
          </w:p>
        </w:tc>
      </w:tr>
      <w:tr>
        <w:tblPrEx>
          <w:tblCellMar>
            <w:top w:w="0" w:type="dxa"/>
            <w:left w:w="108" w:type="dxa"/>
            <w:bottom w:w="0" w:type="dxa"/>
            <w:right w:w="108" w:type="dxa"/>
          </w:tblCellMar>
        </w:tblPrEx>
        <w:trPr>
          <w:trHeight w:val="481" w:hRule="atLeast"/>
        </w:trPr>
        <w:tc>
          <w:tcPr>
            <w:tcW w:w="1193" w:type="pct"/>
            <w:vMerge w:val="restart"/>
            <w:tcBorders>
              <w:top w:val="single" w:color="000000" w:sz="4" w:space="0"/>
              <w:left w:val="single" w:color="000000" w:sz="4" w:space="0"/>
              <w:right w:val="single" w:color="000000" w:sz="4" w:space="0"/>
            </w:tcBorders>
            <w:shd w:val="clear" w:color="auto" w:fill="auto"/>
            <w:vAlign w:val="center"/>
          </w:tcPr>
          <w:p>
            <w:pPr>
              <w:widowControl/>
              <w:ind w:firstLine="420" w:firstLineChars="2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专业选修课</w:t>
            </w:r>
          </w:p>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（至少2学分，</w:t>
            </w:r>
          </w:p>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3门至少选1门）</w:t>
            </w:r>
          </w:p>
        </w:tc>
        <w:tc>
          <w:tcPr>
            <w:tcW w:w="2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ind w:firstLine="840" w:firstLineChars="400"/>
              <w:jc w:val="left"/>
              <w:textAlignment w:val="center"/>
              <w:rPr>
                <w:rFonts w:ascii="宋体" w:hAnsi="宋体" w:eastAsia="宋体" w:cs="宋体"/>
                <w:color w:val="000000"/>
                <w:szCs w:val="21"/>
              </w:rPr>
            </w:pPr>
            <w:r>
              <w:rPr>
                <w:rFonts w:hint="eastAsia" w:ascii="宋体" w:hAnsi="宋体" w:eastAsia="宋体" w:cs="宋体"/>
              </w:rPr>
              <w:t>高阶定量研究方法（1）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2</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博一春季学期</w:t>
            </w:r>
          </w:p>
        </w:tc>
      </w:tr>
      <w:tr>
        <w:tblPrEx>
          <w:tblCellMar>
            <w:top w:w="0" w:type="dxa"/>
            <w:left w:w="108" w:type="dxa"/>
            <w:bottom w:w="0" w:type="dxa"/>
            <w:right w:w="108" w:type="dxa"/>
          </w:tblCellMar>
        </w:tblPrEx>
        <w:trPr>
          <w:trHeight w:val="481" w:hRule="atLeast"/>
        </w:trPr>
        <w:tc>
          <w:tcPr>
            <w:tcW w:w="1193" w:type="pct"/>
            <w:vMerge w:val="continue"/>
            <w:tcBorders>
              <w:left w:val="single" w:color="000000"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kern w:val="0"/>
                <w:szCs w:val="21"/>
                <w:lang w:bidi="ar"/>
              </w:rPr>
            </w:pPr>
          </w:p>
        </w:tc>
        <w:tc>
          <w:tcPr>
            <w:tcW w:w="2128"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156" w:beforeLines="50" w:after="156" w:afterLines="50"/>
              <w:ind w:firstLine="840" w:firstLineChars="400"/>
              <w:jc w:val="left"/>
              <w:textAlignment w:val="center"/>
              <w:rPr>
                <w:rFonts w:ascii="宋体" w:hAnsi="宋体" w:eastAsia="宋体" w:cs="宋体"/>
                <w:color w:val="000000"/>
                <w:szCs w:val="21"/>
              </w:rPr>
            </w:pPr>
            <w:r>
              <w:rPr>
                <w:rFonts w:hint="eastAsia" w:ascii="宋体" w:hAnsi="宋体" w:eastAsia="宋体" w:cs="宋体"/>
              </w:rPr>
              <w:t>高阶定量研究方法（2）</w:t>
            </w:r>
          </w:p>
        </w:tc>
        <w:tc>
          <w:tcPr>
            <w:tcW w:w="437" w:type="pct"/>
            <w:tcBorders>
              <w:top w:val="single" w:color="000000" w:sz="4" w:space="0"/>
              <w:left w:val="single" w:color="000000" w:sz="4" w:space="0"/>
              <w:bottom w:val="single" w:color="auto"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2</w:t>
            </w:r>
          </w:p>
        </w:tc>
        <w:tc>
          <w:tcPr>
            <w:tcW w:w="1240" w:type="pct"/>
            <w:tcBorders>
              <w:top w:val="single" w:color="000000" w:sz="4" w:space="0"/>
              <w:left w:val="single" w:color="000000" w:sz="4" w:space="0"/>
              <w:bottom w:val="single" w:color="auto"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rPr>
              <w:t>博一春季学期</w:t>
            </w:r>
          </w:p>
        </w:tc>
      </w:tr>
      <w:tr>
        <w:tblPrEx>
          <w:tblCellMar>
            <w:top w:w="0" w:type="dxa"/>
            <w:left w:w="108" w:type="dxa"/>
            <w:bottom w:w="0" w:type="dxa"/>
            <w:right w:w="108" w:type="dxa"/>
          </w:tblCellMar>
        </w:tblPrEx>
        <w:trPr>
          <w:trHeight w:val="481" w:hRule="atLeast"/>
        </w:trPr>
        <w:tc>
          <w:tcPr>
            <w:tcW w:w="1193" w:type="pct"/>
            <w:vMerge w:val="continue"/>
            <w:tcBorders>
              <w:left w:val="single" w:color="000000" w:sz="4" w:space="0"/>
              <w:bottom w:val="single" w:color="auto" w:sz="4" w:space="0"/>
              <w:right w:val="single" w:color="000000" w:sz="4" w:space="0"/>
            </w:tcBorders>
            <w:shd w:val="clear" w:color="auto" w:fill="auto"/>
            <w:vAlign w:val="center"/>
          </w:tcPr>
          <w:p>
            <w:pPr>
              <w:widowControl/>
              <w:ind w:firstLine="420" w:firstLineChars="200"/>
              <w:jc w:val="center"/>
              <w:textAlignment w:val="center"/>
              <w:rPr>
                <w:rFonts w:ascii="宋体" w:hAnsi="宋体" w:eastAsia="宋体" w:cs="宋体"/>
                <w:color w:val="000000"/>
                <w:kern w:val="0"/>
                <w:szCs w:val="21"/>
                <w:lang w:bidi="ar"/>
              </w:rPr>
            </w:pPr>
          </w:p>
        </w:tc>
        <w:tc>
          <w:tcPr>
            <w:tcW w:w="2128"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156" w:beforeLines="50" w:after="156" w:afterLines="50"/>
              <w:ind w:firstLine="1050" w:firstLineChars="500"/>
              <w:jc w:val="left"/>
              <w:textAlignment w:val="center"/>
              <w:rPr>
                <w:rFonts w:ascii="宋体" w:hAnsi="宋体" w:eastAsia="宋体" w:cs="宋体"/>
              </w:rPr>
            </w:pPr>
            <w:r>
              <w:rPr>
                <w:rFonts w:hint="eastAsia" w:ascii="宋体" w:hAnsi="宋体" w:eastAsia="宋体" w:cs="宋体"/>
              </w:rPr>
              <w:t>质性研究方法</w:t>
            </w:r>
          </w:p>
        </w:tc>
        <w:tc>
          <w:tcPr>
            <w:tcW w:w="437" w:type="pct"/>
            <w:tcBorders>
              <w:top w:val="single" w:color="000000" w:sz="4" w:space="0"/>
              <w:left w:val="single" w:color="000000" w:sz="4" w:space="0"/>
              <w:bottom w:val="single" w:color="auto" w:sz="4" w:space="0"/>
              <w:right w:val="single" w:color="000000" w:sz="4" w:space="0"/>
            </w:tcBorders>
            <w:shd w:val="clear" w:color="auto" w:fill="auto"/>
            <w:vAlign w:val="center"/>
          </w:tcPr>
          <w:p>
            <w:pPr>
              <w:ind w:firstLine="210" w:firstLineChars="100"/>
              <w:rPr>
                <w:rFonts w:ascii="宋体" w:hAnsi="宋体" w:eastAsia="宋体" w:cs="宋体"/>
                <w:color w:val="000000"/>
                <w:szCs w:val="21"/>
              </w:rPr>
            </w:pPr>
            <w:r>
              <w:rPr>
                <w:rFonts w:hint="eastAsia" w:ascii="宋体" w:hAnsi="宋体" w:eastAsia="宋体" w:cs="宋体"/>
                <w:color w:val="000000"/>
                <w:szCs w:val="21"/>
              </w:rPr>
              <w:t>2</w:t>
            </w:r>
          </w:p>
        </w:tc>
        <w:tc>
          <w:tcPr>
            <w:tcW w:w="1240" w:type="pct"/>
            <w:tcBorders>
              <w:top w:val="single" w:color="000000" w:sz="4" w:space="0"/>
              <w:left w:val="single" w:color="000000" w:sz="4" w:space="0"/>
              <w:bottom w:val="single" w:color="auto" w:sz="4" w:space="0"/>
              <w:right w:val="single" w:color="000000"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博一春季学期</w:t>
            </w:r>
          </w:p>
        </w:tc>
      </w:tr>
      <w:tr>
        <w:tblPrEx>
          <w:tblCellMar>
            <w:top w:w="0" w:type="dxa"/>
            <w:left w:w="108" w:type="dxa"/>
            <w:bottom w:w="0" w:type="dxa"/>
            <w:right w:w="108" w:type="dxa"/>
          </w:tblCellMar>
        </w:tblPrEx>
        <w:trPr>
          <w:trHeight w:val="481" w:hRule="atLeast"/>
        </w:trPr>
        <w:tc>
          <w:tcPr>
            <w:tcW w:w="1193" w:type="pct"/>
            <w:tcBorders>
              <w:top w:val="single" w:color="auto" w:sz="4" w:space="0"/>
              <w:left w:val="single" w:color="auto" w:sz="4" w:space="0"/>
              <w:bottom w:val="single" w:color="auto" w:sz="4" w:space="0"/>
              <w:right w:val="single" w:color="000000" w:sz="4" w:space="0"/>
            </w:tcBorders>
            <w:shd w:val="clear" w:color="auto" w:fill="auto"/>
            <w:vAlign w:val="center"/>
          </w:tcPr>
          <w:p>
            <w:pPr>
              <w:ind w:firstLine="420" w:firstLineChars="200"/>
              <w:rPr>
                <w:rFonts w:ascii="宋体" w:hAnsi="宋体" w:eastAsia="宋体" w:cs="宋体"/>
                <w:color w:val="000000"/>
                <w:szCs w:val="21"/>
              </w:rPr>
            </w:pPr>
            <w:r>
              <w:rPr>
                <w:rFonts w:hint="eastAsia" w:ascii="宋体" w:hAnsi="宋体" w:eastAsia="宋体" w:cs="宋体"/>
                <w:color w:val="000000"/>
                <w:szCs w:val="21"/>
              </w:rPr>
              <w:t>专业前沿课</w:t>
            </w:r>
          </w:p>
          <w:p>
            <w:pPr>
              <w:jc w:val="center"/>
              <w:rPr>
                <w:rFonts w:ascii="宋体" w:hAnsi="宋体" w:eastAsia="宋体" w:cs="宋体"/>
                <w:color w:val="000000"/>
                <w:szCs w:val="21"/>
              </w:rPr>
            </w:pPr>
            <w:r>
              <w:rPr>
                <w:rFonts w:hint="eastAsia" w:ascii="宋体" w:hAnsi="宋体" w:eastAsia="宋体" w:cs="宋体"/>
                <w:color w:val="000000"/>
                <w:szCs w:val="21"/>
              </w:rPr>
              <w:t>（必修1学分）</w:t>
            </w:r>
          </w:p>
        </w:tc>
        <w:tc>
          <w:tcPr>
            <w:tcW w:w="2128" w:type="pc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学术报告与研讨会</w:t>
            </w:r>
          </w:p>
        </w:tc>
        <w:tc>
          <w:tcPr>
            <w:tcW w:w="437" w:type="pct"/>
            <w:tcBorders>
              <w:top w:val="single" w:color="auto" w:sz="4" w:space="0"/>
              <w:left w:val="single" w:color="000000" w:sz="4" w:space="0"/>
              <w:bottom w:val="single" w:color="auto" w:sz="4" w:space="0"/>
              <w:right w:val="single" w:color="000000" w:sz="4" w:space="0"/>
            </w:tcBorders>
            <w:shd w:val="clear" w:color="auto" w:fill="auto"/>
            <w:vAlign w:val="center"/>
          </w:tcPr>
          <w:p>
            <w:pPr>
              <w:spacing w:before="156" w:beforeLines="50" w:after="156" w:afterLines="50"/>
              <w:ind w:firstLine="210" w:firstLineChars="100"/>
              <w:rPr>
                <w:rFonts w:ascii="宋体" w:hAnsi="宋体" w:eastAsia="宋体" w:cs="宋体"/>
                <w:color w:val="000000"/>
                <w:szCs w:val="21"/>
              </w:rPr>
            </w:pPr>
            <w:r>
              <w:rPr>
                <w:rFonts w:hint="eastAsia" w:ascii="宋体" w:hAnsi="宋体" w:eastAsia="宋体" w:cs="宋体"/>
              </w:rPr>
              <w:t>1</w:t>
            </w:r>
          </w:p>
        </w:tc>
        <w:tc>
          <w:tcPr>
            <w:tcW w:w="1240" w:type="pct"/>
            <w:tcBorders>
              <w:top w:val="single" w:color="auto" w:sz="4" w:space="0"/>
              <w:left w:val="single" w:color="000000" w:sz="4" w:space="0"/>
              <w:bottom w:val="single" w:color="auto" w:sz="4" w:space="0"/>
              <w:right w:val="single" w:color="auto" w:sz="4" w:space="0"/>
            </w:tcBorders>
            <w:shd w:val="clear" w:color="auto" w:fill="auto"/>
            <w:vAlign w:val="center"/>
          </w:tcPr>
          <w:p>
            <w:pPr>
              <w:spacing w:before="156" w:beforeLines="50" w:after="156" w:afterLines="50"/>
              <w:ind w:firstLine="210" w:firstLineChars="100"/>
              <w:rPr>
                <w:rFonts w:ascii="宋体" w:hAnsi="宋体" w:eastAsia="宋体" w:cs="宋体"/>
                <w:color w:val="000000"/>
                <w:szCs w:val="21"/>
              </w:rPr>
            </w:pPr>
            <w:r>
              <w:rPr>
                <w:rFonts w:hint="eastAsia" w:ascii="宋体" w:hAnsi="宋体" w:eastAsia="宋体" w:cs="宋体"/>
              </w:rPr>
              <w:t>博二春季学期</w:t>
            </w:r>
          </w:p>
        </w:tc>
      </w:tr>
    </w:tbl>
    <w:p>
      <w:pPr>
        <w:spacing w:before="156" w:beforeLines="50" w:after="156" w:afterLines="50" w:line="300" w:lineRule="auto"/>
        <w:rPr>
          <w:rFonts w:ascii="宋体" w:hAnsi="宋体" w:eastAsia="宋体" w:cs="宋体"/>
        </w:rPr>
      </w:pPr>
      <w:r>
        <w:rPr>
          <w:rFonts w:hint="eastAsia" w:ascii="宋体" w:hAnsi="宋体" w:eastAsia="宋体" w:cs="宋体"/>
        </w:rPr>
        <w:t>*本硕阶段未修过教育基本理论、教育史相关课程的博士研究生，必须在博士生阶段修专业先修课，计学分但不计GPA。</w:t>
      </w:r>
    </w:p>
    <w:p>
      <w:pPr>
        <w:pStyle w:val="5"/>
        <w:spacing w:before="0" w:beforeAutospacing="0" w:after="0" w:afterAutospacing="0" w:line="360" w:lineRule="auto"/>
        <w:ind w:firstLine="482"/>
        <w:textAlignment w:val="baseline"/>
        <w:rPr>
          <w:bCs/>
          <w:kern w:val="2"/>
        </w:rPr>
      </w:pPr>
      <w:r>
        <w:rPr>
          <w:rFonts w:hint="eastAsia"/>
          <w:bCs/>
          <w:kern w:val="2"/>
        </w:rPr>
        <w:t>博士研究生可在本学科培养方案规定课程学习要求之外，选修相关学科的研究生课程，经导师同意、院系审核，可列入个人培养计划专业选修课模块，并计入学分。</w:t>
      </w:r>
    </w:p>
    <w:p>
      <w:pPr>
        <w:pStyle w:val="5"/>
        <w:spacing w:before="0" w:beforeAutospacing="0" w:after="0" w:afterAutospacing="0" w:line="360" w:lineRule="auto"/>
        <w:ind w:firstLine="482"/>
        <w:textAlignment w:val="baseline"/>
        <w:rPr>
          <w:bCs/>
          <w:kern w:val="2"/>
        </w:rPr>
      </w:pPr>
      <w:r>
        <w:rPr>
          <w:rFonts w:hint="eastAsia"/>
          <w:bCs/>
          <w:kern w:val="2"/>
        </w:rPr>
        <w:t>博士研究生可根据兴趣选修培养计划之外的其它课程，列为任意选修课，不计入培养计划学分。</w:t>
      </w:r>
    </w:p>
    <w:p>
      <w:pPr>
        <w:spacing w:line="360" w:lineRule="auto"/>
        <w:ind w:firstLine="480" w:firstLineChars="200"/>
        <w:rPr>
          <w:rFonts w:ascii="宋体" w:hAnsi="宋体" w:cs="宋体"/>
          <w:bCs/>
        </w:rPr>
      </w:pPr>
      <w:r>
        <w:rPr>
          <w:rFonts w:hint="eastAsia" w:ascii="宋体" w:hAnsi="宋体" w:eastAsia="宋体" w:cs="宋体"/>
          <w:bCs/>
          <w:sz w:val="24"/>
        </w:rPr>
        <w:t>博士研究生应在入学后</w:t>
      </w:r>
      <w:r>
        <w:rPr>
          <w:rFonts w:ascii="宋体" w:hAnsi="宋体" w:eastAsia="宋体" w:cs="宋体"/>
          <w:bCs/>
          <w:sz w:val="24"/>
        </w:rPr>
        <w:t>2</w:t>
      </w:r>
      <w:r>
        <w:rPr>
          <w:rFonts w:hint="eastAsia" w:ascii="宋体" w:hAnsi="宋体" w:eastAsia="宋体" w:cs="宋体"/>
          <w:bCs/>
          <w:sz w:val="24"/>
        </w:rPr>
        <w:t>周内在导师指导下制定培养计划。</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培养过程要求</w:t>
      </w:r>
    </w:p>
    <w:p>
      <w:pPr>
        <w:spacing w:line="360" w:lineRule="auto"/>
        <w:rPr>
          <w:rFonts w:ascii="宋体" w:hAnsi="宋体" w:eastAsia="宋体" w:cs="宋体"/>
          <w:bCs/>
          <w:sz w:val="24"/>
        </w:rPr>
      </w:pPr>
      <w:r>
        <w:rPr>
          <w:rFonts w:hint="eastAsia" w:ascii="宋体" w:hAnsi="宋体" w:eastAsia="宋体" w:cs="宋体"/>
          <w:bCs/>
          <w:sz w:val="24"/>
        </w:rPr>
        <w:t>（一）博士生资格考试</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资格考试在入学后第一学年结束前完成，形式包括笔试和面试。第一次资格考不通过者，可在下一学期申请重考；两次资格考试不通过者，不能继续攻读博士学位。经专家小组评估，符合硕士研究生培养条件的全日制博士生，在转硕建议送达5个工作日内，应提交转为硕士生培养申请，经导师同意、院系审核通过、研究生院批准，可转为硕士生培养；转为硕士生培养后，应在2年内完成硕士阶段学习及论文答辩，满足《上海交通大学关于攻读硕士学位研究生培养工作的规定》后，将颁发硕士研究生毕业证书并授予硕士学位。否则，按“应予退学”处理。</w:t>
      </w:r>
    </w:p>
    <w:p>
      <w:pPr>
        <w:spacing w:line="360" w:lineRule="auto"/>
        <w:rPr>
          <w:rFonts w:ascii="宋体" w:hAnsi="宋体" w:eastAsia="宋体" w:cs="宋体"/>
          <w:bCs/>
          <w:sz w:val="24"/>
        </w:rPr>
      </w:pPr>
      <w:r>
        <w:rPr>
          <w:rFonts w:hint="eastAsia" w:ascii="宋体" w:hAnsi="宋体" w:eastAsia="宋体" w:cs="宋体"/>
          <w:bCs/>
          <w:sz w:val="24"/>
        </w:rPr>
        <w:t>（二）开题报告</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通过资格考试的博士生一般应于第二学年结束前进行博士学位论文开题。首次学位论文开题未通过者，须根据专家小组意见修改论文，经导师审核后重新申请开题，两次开题间隔时间不得少于 6 个月。第二次开题不通过者，学院将基于学业考核作出“转为硕士生培养”或“应予退学”的建议。关于开题报告的具体规定参见学院《博士研究生学位论文开题报告实施细则》。</w:t>
      </w:r>
    </w:p>
    <w:p>
      <w:pPr>
        <w:spacing w:line="360" w:lineRule="auto"/>
        <w:ind w:firstLine="480" w:firstLineChars="200"/>
        <w:rPr>
          <w:rFonts w:ascii="宋体" w:hAnsi="宋体" w:eastAsia="宋体" w:cs="宋体"/>
          <w:bCs/>
          <w:sz w:val="24"/>
        </w:rPr>
      </w:pPr>
    </w:p>
    <w:p>
      <w:pPr>
        <w:spacing w:line="360" w:lineRule="auto"/>
        <w:rPr>
          <w:rFonts w:ascii="宋体" w:hAnsi="宋体" w:eastAsia="宋体" w:cs="宋体"/>
          <w:bCs/>
          <w:sz w:val="24"/>
        </w:rPr>
      </w:pPr>
      <w:r>
        <w:rPr>
          <w:rFonts w:hint="eastAsia" w:ascii="宋体" w:hAnsi="宋体" w:eastAsia="宋体" w:cs="宋体"/>
          <w:bCs/>
          <w:sz w:val="24"/>
        </w:rPr>
        <w:t>（三）年度考核</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博士生完成学位论文开题报告后按自然年进行年度考核，其形式可结合研究生的学术讨论或专题研究报告会进行。首次年度考核未通过者，须根据考核意见修改年度进展报告，经导师审核后重新申请年度考核，两次考核间隔时间不得少于 6 个月。第二次考核不通过者，经考核小组评估，如认为该生不符合博士生培养条件，应停止作为博士生继续培养，并作出“博士生转为硕士生培养”或“结业”或“应予退学”的建议。关于年度考核的具体规定参见学院《博士研究生学位论文年度考核实施细则》。</w:t>
      </w:r>
    </w:p>
    <w:p>
      <w:pPr>
        <w:spacing w:line="360" w:lineRule="auto"/>
        <w:rPr>
          <w:rFonts w:ascii="宋体" w:hAnsi="宋体" w:eastAsia="宋体" w:cs="宋体"/>
          <w:bCs/>
          <w:sz w:val="24"/>
        </w:rPr>
      </w:pPr>
      <w:r>
        <w:rPr>
          <w:rFonts w:hint="eastAsia" w:ascii="宋体" w:hAnsi="宋体" w:eastAsia="宋体" w:cs="宋体"/>
          <w:bCs/>
          <w:sz w:val="24"/>
        </w:rPr>
        <w:t>（四）预答辩</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博士研究生一般应在通过学位论文开题、年度考核，导师审阅通过后进行预答辩。首次预答辩未通过者，须根据专家意见全面修改论文，经导师审核后重新申请预答辩，两次预答辩间隔时间不得少于 6 个月。第二次预答辩不通过者，不予批准其学位论文答辩申请。关于预答辩的具体规定参见学校《博士学位论文预答辩流程》、学院《博士研究生学位论文预答辩实施细则》。</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博士生休学期间，原则上不组织安排博士生资格考试、开题、年度考核、预答辩和答辩。</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学术成果要求</w:t>
      </w:r>
    </w:p>
    <w:p>
      <w:pPr>
        <w:spacing w:line="360" w:lineRule="auto"/>
        <w:rPr>
          <w:rFonts w:ascii="宋体" w:hAnsi="宋体" w:eastAsia="宋体" w:cs="宋体"/>
          <w:bCs/>
          <w:sz w:val="24"/>
        </w:rPr>
      </w:pPr>
      <w:r>
        <w:rPr>
          <w:rFonts w:hint="eastAsia" w:ascii="宋体" w:hAnsi="宋体" w:eastAsia="宋体" w:cs="宋体"/>
          <w:bCs/>
          <w:sz w:val="24"/>
        </w:rPr>
        <w:t>（一）博士生申请学位论文答辩之前，必须在高水平国际学术会议上至少交流一次：可为口头报告、墙报展示或论文摘要被接收；会议可在境内或境外举办。</w:t>
      </w:r>
    </w:p>
    <w:p>
      <w:pPr>
        <w:spacing w:line="360" w:lineRule="auto"/>
        <w:rPr>
          <w:rFonts w:ascii="宋体" w:hAnsi="宋体" w:eastAsia="宋体" w:cs="宋体"/>
          <w:bCs/>
          <w:sz w:val="24"/>
        </w:rPr>
      </w:pPr>
      <w:r>
        <w:rPr>
          <w:rFonts w:hint="eastAsia" w:ascii="宋体" w:hAnsi="宋体" w:eastAsia="宋体" w:cs="宋体"/>
          <w:bCs/>
          <w:sz w:val="24"/>
        </w:rPr>
        <w:t>（二）博士生申请学位论文答辩之前，必须满足下列条件之一：</w:t>
      </w:r>
    </w:p>
    <w:p>
      <w:pPr>
        <w:spacing w:line="360" w:lineRule="auto"/>
        <w:rPr>
          <w:rFonts w:hint="eastAsia" w:ascii="宋体" w:hAnsi="宋体" w:eastAsia="宋体" w:cs="宋体"/>
          <w:bCs/>
          <w:sz w:val="24"/>
        </w:rPr>
      </w:pPr>
      <w:r>
        <w:rPr>
          <w:rFonts w:ascii="宋体" w:hAnsi="宋体" w:eastAsia="宋体" w:cs="宋体"/>
          <w:bCs/>
          <w:sz w:val="24"/>
        </w:rPr>
        <w:t>1</w:t>
      </w:r>
      <w:r>
        <w:rPr>
          <w:rFonts w:hint="eastAsia" w:ascii="宋体" w:hAnsi="宋体" w:eastAsia="宋体" w:cs="宋体"/>
          <w:bCs/>
          <w:sz w:val="24"/>
        </w:rPr>
        <w:t>.至少发表2篇与学位论文主要内容相关的SSCI论文；</w:t>
      </w:r>
    </w:p>
    <w:p>
      <w:pPr>
        <w:spacing w:line="360" w:lineRule="auto"/>
        <w:rPr>
          <w:rFonts w:hint="eastAsia" w:ascii="宋体" w:hAnsi="宋体" w:eastAsia="宋体" w:cs="宋体"/>
          <w:bCs/>
          <w:sz w:val="24"/>
        </w:rPr>
      </w:pPr>
      <w:r>
        <w:rPr>
          <w:rFonts w:ascii="宋体" w:hAnsi="宋体" w:eastAsia="宋体" w:cs="宋体"/>
          <w:bCs/>
          <w:sz w:val="24"/>
        </w:rPr>
        <w:t>2</w:t>
      </w:r>
      <w:r>
        <w:rPr>
          <w:rFonts w:hint="eastAsia" w:ascii="宋体" w:hAnsi="宋体" w:eastAsia="宋体" w:cs="宋体"/>
          <w:bCs/>
          <w:sz w:val="24"/>
        </w:rPr>
        <w:t>.至少发表1篇与学位论文主要内容相关的SSCI论文和1篇与学位论文主要内容相关的CSSCI论文；</w:t>
      </w:r>
    </w:p>
    <w:p>
      <w:pPr>
        <w:spacing w:line="360" w:lineRule="auto"/>
        <w:rPr>
          <w:rFonts w:hint="eastAsia" w:ascii="宋体" w:hAnsi="宋体" w:eastAsia="宋体" w:cs="宋体"/>
          <w:bCs/>
          <w:sz w:val="24"/>
        </w:rPr>
      </w:pPr>
      <w:r>
        <w:rPr>
          <w:rFonts w:ascii="宋体" w:hAnsi="宋体" w:eastAsia="宋体" w:cs="宋体"/>
          <w:bCs/>
          <w:sz w:val="24"/>
        </w:rPr>
        <w:t>3</w:t>
      </w:r>
      <w:r>
        <w:rPr>
          <w:rFonts w:hint="eastAsia" w:ascii="宋体" w:hAnsi="宋体" w:eastAsia="宋体" w:cs="宋体"/>
          <w:bCs/>
          <w:sz w:val="24"/>
        </w:rPr>
        <w:t>.至少发表2篇与学位论文主要内容相关的CSSCI论文，其中1篇为相关研究领域的国内顶尖刊物论文；</w:t>
      </w:r>
    </w:p>
    <w:p>
      <w:pPr>
        <w:spacing w:line="360" w:lineRule="auto"/>
        <w:rPr>
          <w:rFonts w:hint="eastAsia" w:ascii="宋体" w:hAnsi="宋体" w:eastAsia="宋体" w:cs="宋体"/>
          <w:bCs/>
          <w:sz w:val="24"/>
        </w:rPr>
      </w:pPr>
      <w:r>
        <w:rPr>
          <w:rFonts w:ascii="宋体" w:hAnsi="宋体" w:eastAsia="宋体" w:cs="宋体"/>
          <w:bCs/>
          <w:sz w:val="24"/>
        </w:rPr>
        <w:t>4</w:t>
      </w:r>
      <w:r>
        <w:rPr>
          <w:rFonts w:hint="eastAsia" w:ascii="宋体" w:hAnsi="宋体" w:eastAsia="宋体" w:cs="宋体"/>
          <w:bCs/>
          <w:sz w:val="24"/>
        </w:rPr>
        <w:t>.至少发表3篇与学位论文主要内容相关的CSSCI论文。</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对于在科学前沿、颠覆性技术或领域潜心从事基础性、创新性或尖端性研究，力争经过长期攻关取得突破性、颠覆性科研成果的博士生，若答辩前无成果发表的，可通过以下流程提出学位申请：（1）导师申请；（2）学科专家小组严格审议或同行专家充分评议或有关权威组织机构认定；（3）学院学位评定委员会审核通过。</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学位论文要求</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博士学位论文是博士生教育质量和学术水平的集中反映，应在导师及导师组</w:t>
      </w:r>
    </w:p>
    <w:p>
      <w:pPr>
        <w:spacing w:line="360" w:lineRule="auto"/>
        <w:rPr>
          <w:rFonts w:ascii="宋体" w:hAnsi="宋体" w:eastAsia="宋体" w:cs="宋体"/>
          <w:bCs/>
          <w:sz w:val="24"/>
        </w:rPr>
      </w:pPr>
      <w:r>
        <w:rPr>
          <w:rFonts w:hint="eastAsia" w:ascii="宋体" w:hAnsi="宋体" w:eastAsia="宋体" w:cs="宋体"/>
          <w:bCs/>
          <w:sz w:val="24"/>
        </w:rPr>
        <w:t>指导下由博士生独立完成。具体要求如下：</w:t>
      </w:r>
    </w:p>
    <w:p>
      <w:pPr>
        <w:spacing w:line="360" w:lineRule="auto"/>
        <w:rPr>
          <w:rFonts w:ascii="宋体" w:hAnsi="宋体" w:eastAsia="宋体" w:cs="宋体"/>
          <w:bCs/>
          <w:sz w:val="24"/>
        </w:rPr>
      </w:pPr>
      <w:r>
        <w:rPr>
          <w:rFonts w:hint="eastAsia" w:ascii="宋体" w:hAnsi="宋体" w:eastAsia="宋体" w:cs="宋体"/>
          <w:bCs/>
          <w:sz w:val="24"/>
        </w:rPr>
        <w:t>（一）博士生学位论文研究的实际工作时间一般不少于2年。</w:t>
      </w:r>
    </w:p>
    <w:p>
      <w:pPr>
        <w:spacing w:line="360" w:lineRule="auto"/>
        <w:rPr>
          <w:rFonts w:ascii="宋体" w:hAnsi="宋体" w:eastAsia="宋体" w:cs="宋体"/>
          <w:bCs/>
          <w:sz w:val="24"/>
        </w:rPr>
      </w:pPr>
      <w:r>
        <w:rPr>
          <w:rFonts w:hint="eastAsia" w:ascii="宋体" w:hAnsi="宋体" w:eastAsia="宋体" w:cs="宋体"/>
          <w:bCs/>
          <w:sz w:val="24"/>
        </w:rPr>
        <w:t>（二）学位论文选题应具有科学性、学术性、创新性、先进性和可行性。</w:t>
      </w:r>
    </w:p>
    <w:p>
      <w:pPr>
        <w:spacing w:line="360" w:lineRule="auto"/>
        <w:rPr>
          <w:rFonts w:ascii="宋体" w:hAnsi="宋体" w:eastAsia="宋体" w:cs="宋体"/>
          <w:bCs/>
          <w:sz w:val="24"/>
        </w:rPr>
      </w:pPr>
      <w:r>
        <w:rPr>
          <w:rFonts w:hint="eastAsia" w:ascii="宋体" w:hAnsi="宋体" w:eastAsia="宋体" w:cs="宋体"/>
          <w:bCs/>
          <w:sz w:val="24"/>
        </w:rPr>
        <w:t>（三）学位论文选题应与学科前沿领域相关，或对科技进步、经济建设和社会发展有重要意义。</w:t>
      </w:r>
    </w:p>
    <w:p>
      <w:pPr>
        <w:spacing w:line="360" w:lineRule="auto"/>
        <w:rPr>
          <w:rFonts w:ascii="宋体" w:hAnsi="宋体" w:eastAsia="宋体" w:cs="宋体"/>
          <w:bCs/>
          <w:sz w:val="24"/>
        </w:rPr>
      </w:pPr>
      <w:r>
        <w:rPr>
          <w:rFonts w:hint="eastAsia" w:ascii="宋体" w:hAnsi="宋体" w:eastAsia="宋体" w:cs="宋体"/>
          <w:bCs/>
          <w:sz w:val="24"/>
        </w:rPr>
        <w:t>（四）学位论文应体现博士生在学科领域做出的创造性学术成果，应能反映博士生已掌握坚实宽广的理论基础和系统深入的专业知识，具备独立从事科学研究工作的能力。</w:t>
      </w:r>
    </w:p>
    <w:p>
      <w:pPr>
        <w:spacing w:line="360" w:lineRule="auto"/>
        <w:rPr>
          <w:rFonts w:ascii="宋体" w:hAnsi="宋体" w:eastAsia="宋体" w:cs="宋体"/>
          <w:bCs/>
          <w:sz w:val="24"/>
        </w:rPr>
      </w:pPr>
      <w:r>
        <w:rPr>
          <w:rFonts w:hint="eastAsia" w:ascii="宋体" w:hAnsi="宋体" w:eastAsia="宋体" w:cs="宋体"/>
          <w:bCs/>
          <w:sz w:val="24"/>
        </w:rPr>
        <w:t>（五）博士学位论文一般要求正文不少于8万字。博士学位论文撰写格式按照学院</w:t>
      </w:r>
      <w:bookmarkStart w:id="0" w:name="_Hlk137124107"/>
      <w:r>
        <w:rPr>
          <w:rFonts w:hint="eastAsia" w:ascii="宋体" w:hAnsi="宋体" w:eastAsia="宋体" w:cs="宋体"/>
          <w:bCs/>
          <w:sz w:val="24"/>
        </w:rPr>
        <w:t>《教育学博士、教育学硕士、教育硕士学位论文撰写指南》</w:t>
      </w:r>
      <w:bookmarkEnd w:id="0"/>
      <w:r>
        <w:rPr>
          <w:rFonts w:hint="eastAsia" w:ascii="宋体" w:hAnsi="宋体" w:eastAsia="宋体" w:cs="宋体"/>
          <w:bCs/>
          <w:sz w:val="24"/>
        </w:rPr>
        <w:t>执行。</w:t>
      </w:r>
    </w:p>
    <w:p>
      <w:pPr>
        <w:pStyle w:val="9"/>
        <w:numPr>
          <w:ilvl w:val="0"/>
          <w:numId w:val="2"/>
        </w:numPr>
        <w:spacing w:before="156" w:beforeLines="50" w:after="156" w:afterLines="50"/>
        <w:ind w:firstLineChars="0"/>
        <w:rPr>
          <w:rFonts w:ascii="宋体" w:hAnsi="宋体" w:eastAsia="宋体" w:cs="宋体"/>
          <w:b/>
          <w:sz w:val="28"/>
          <w:szCs w:val="28"/>
        </w:rPr>
      </w:pPr>
      <w:r>
        <w:rPr>
          <w:rFonts w:hint="eastAsia" w:ascii="宋体" w:hAnsi="宋体" w:eastAsia="宋体" w:cs="宋体"/>
          <w:b/>
          <w:sz w:val="28"/>
          <w:szCs w:val="28"/>
        </w:rPr>
        <w:t>学位论文答辩与学位申请</w:t>
      </w:r>
    </w:p>
    <w:p>
      <w:pPr>
        <w:spacing w:line="360" w:lineRule="auto"/>
        <w:ind w:firstLine="480" w:firstLineChars="200"/>
        <w:rPr>
          <w:rFonts w:ascii="宋体" w:hAnsi="宋体" w:eastAsia="宋体" w:cs="宋体"/>
          <w:b/>
          <w:sz w:val="28"/>
          <w:szCs w:val="28"/>
        </w:rPr>
      </w:pPr>
      <w:r>
        <w:rPr>
          <w:rFonts w:hint="eastAsia" w:ascii="宋体" w:hAnsi="宋体" w:eastAsia="宋体" w:cs="宋体"/>
          <w:bCs/>
          <w:sz w:val="24"/>
        </w:rPr>
        <w:t>按照学校《博士学位论文答辩流程》《博士学位申请与审核流程》《上海交通大学关于申请授予博士学位的规定》执行。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EE3868"/>
    <w:multiLevelType w:val="multilevel"/>
    <w:tmpl w:val="52EE3868"/>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9D3B47"/>
    <w:multiLevelType w:val="singleLevel"/>
    <w:tmpl w:val="5F9D3B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Dc0ZjljYTA3OWQ2MjVjODE0YzI3MTIzM2YxYzgifQ=="/>
  </w:docVars>
  <w:rsids>
    <w:rsidRoot w:val="5EFFBDBF"/>
    <w:rsid w:val="00072BBD"/>
    <w:rsid w:val="00094174"/>
    <w:rsid w:val="000B1B1A"/>
    <w:rsid w:val="00125A8E"/>
    <w:rsid w:val="00295113"/>
    <w:rsid w:val="002B1801"/>
    <w:rsid w:val="00484412"/>
    <w:rsid w:val="004F25B4"/>
    <w:rsid w:val="00500BEF"/>
    <w:rsid w:val="00541F7B"/>
    <w:rsid w:val="005427F4"/>
    <w:rsid w:val="00591E42"/>
    <w:rsid w:val="005A5E55"/>
    <w:rsid w:val="00683113"/>
    <w:rsid w:val="006A05CD"/>
    <w:rsid w:val="00746B89"/>
    <w:rsid w:val="007C7118"/>
    <w:rsid w:val="007E1D8D"/>
    <w:rsid w:val="0080453C"/>
    <w:rsid w:val="00880915"/>
    <w:rsid w:val="0095038C"/>
    <w:rsid w:val="00955BC8"/>
    <w:rsid w:val="00972370"/>
    <w:rsid w:val="00A959A7"/>
    <w:rsid w:val="00B07C87"/>
    <w:rsid w:val="00BA0B1D"/>
    <w:rsid w:val="00BA5AF1"/>
    <w:rsid w:val="00BB7720"/>
    <w:rsid w:val="00C330AD"/>
    <w:rsid w:val="00C350D6"/>
    <w:rsid w:val="00C447DA"/>
    <w:rsid w:val="00C9742A"/>
    <w:rsid w:val="00D07714"/>
    <w:rsid w:val="00D32E65"/>
    <w:rsid w:val="00F44E96"/>
    <w:rsid w:val="02FA25DD"/>
    <w:rsid w:val="05031C1C"/>
    <w:rsid w:val="05121E5F"/>
    <w:rsid w:val="052851DF"/>
    <w:rsid w:val="05B20F4D"/>
    <w:rsid w:val="060317A8"/>
    <w:rsid w:val="06055520"/>
    <w:rsid w:val="071F2612"/>
    <w:rsid w:val="077961C6"/>
    <w:rsid w:val="07F7533D"/>
    <w:rsid w:val="0828199A"/>
    <w:rsid w:val="0B3B4488"/>
    <w:rsid w:val="11C37460"/>
    <w:rsid w:val="12B5207C"/>
    <w:rsid w:val="13AE5449"/>
    <w:rsid w:val="15C90318"/>
    <w:rsid w:val="166A4730"/>
    <w:rsid w:val="16DE6045"/>
    <w:rsid w:val="18846779"/>
    <w:rsid w:val="192D5062"/>
    <w:rsid w:val="193C7053"/>
    <w:rsid w:val="1A6A7BF0"/>
    <w:rsid w:val="1AC612CA"/>
    <w:rsid w:val="1E5170FD"/>
    <w:rsid w:val="237044C9"/>
    <w:rsid w:val="23963804"/>
    <w:rsid w:val="24457704"/>
    <w:rsid w:val="24A3442A"/>
    <w:rsid w:val="25B368EF"/>
    <w:rsid w:val="25E6626C"/>
    <w:rsid w:val="263B6969"/>
    <w:rsid w:val="299C583E"/>
    <w:rsid w:val="29B64C00"/>
    <w:rsid w:val="2C2D3725"/>
    <w:rsid w:val="2CC969F8"/>
    <w:rsid w:val="2D713318"/>
    <w:rsid w:val="30F5600E"/>
    <w:rsid w:val="324234D5"/>
    <w:rsid w:val="369D6F2B"/>
    <w:rsid w:val="37C41D91"/>
    <w:rsid w:val="37D050DF"/>
    <w:rsid w:val="3A8328DC"/>
    <w:rsid w:val="3B4715BF"/>
    <w:rsid w:val="3C8854FA"/>
    <w:rsid w:val="3CCB40C7"/>
    <w:rsid w:val="3DFCC5F4"/>
    <w:rsid w:val="3F626F64"/>
    <w:rsid w:val="423F6C5E"/>
    <w:rsid w:val="42AE24C0"/>
    <w:rsid w:val="48223734"/>
    <w:rsid w:val="499917D4"/>
    <w:rsid w:val="4CDA2830"/>
    <w:rsid w:val="4D31441A"/>
    <w:rsid w:val="4ECF5C98"/>
    <w:rsid w:val="4F231B40"/>
    <w:rsid w:val="4FCE7CFE"/>
    <w:rsid w:val="4FDD00B3"/>
    <w:rsid w:val="505226DD"/>
    <w:rsid w:val="50E61077"/>
    <w:rsid w:val="5198616C"/>
    <w:rsid w:val="51F07EE3"/>
    <w:rsid w:val="52BE04FE"/>
    <w:rsid w:val="53933738"/>
    <w:rsid w:val="54300F87"/>
    <w:rsid w:val="5540344C"/>
    <w:rsid w:val="55603AEE"/>
    <w:rsid w:val="56723AD9"/>
    <w:rsid w:val="56ED315F"/>
    <w:rsid w:val="5A33357F"/>
    <w:rsid w:val="5C763BF7"/>
    <w:rsid w:val="5C950521"/>
    <w:rsid w:val="5D327B1E"/>
    <w:rsid w:val="5EFFBDBF"/>
    <w:rsid w:val="61E17D65"/>
    <w:rsid w:val="6291093E"/>
    <w:rsid w:val="62EF64B1"/>
    <w:rsid w:val="643A375C"/>
    <w:rsid w:val="672F9CE4"/>
    <w:rsid w:val="68582403"/>
    <w:rsid w:val="6884144A"/>
    <w:rsid w:val="698C05B6"/>
    <w:rsid w:val="6A4E3ABD"/>
    <w:rsid w:val="6AE663EC"/>
    <w:rsid w:val="6C5C0714"/>
    <w:rsid w:val="6CF220D9"/>
    <w:rsid w:val="6EDA0016"/>
    <w:rsid w:val="6F06705D"/>
    <w:rsid w:val="70877D29"/>
    <w:rsid w:val="7113715A"/>
    <w:rsid w:val="71ED62B2"/>
    <w:rsid w:val="72DB610A"/>
    <w:rsid w:val="7472484C"/>
    <w:rsid w:val="75FBC8DC"/>
    <w:rsid w:val="766823AB"/>
    <w:rsid w:val="783E1615"/>
    <w:rsid w:val="79907C4E"/>
    <w:rsid w:val="7AC06311"/>
    <w:rsid w:val="7BE67792"/>
    <w:rsid w:val="7C305719"/>
    <w:rsid w:val="7D16490F"/>
    <w:rsid w:val="7D342FE7"/>
    <w:rsid w:val="7E423922"/>
    <w:rsid w:val="7FD14B1D"/>
    <w:rsid w:val="F6FD1131"/>
    <w:rsid w:val="FDFF6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paragraph" w:styleId="9">
    <w:name w:val="List Paragraph"/>
    <w:basedOn w:val="1"/>
    <w:qFormat/>
    <w:uiPriority w:val="99"/>
    <w:pPr>
      <w:ind w:firstLine="420" w:firstLineChars="200"/>
    </w:p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2920</Words>
  <Characters>2985</Characters>
  <Lines>22</Lines>
  <Paragraphs>6</Paragraphs>
  <TotalTime>40</TotalTime>
  <ScaleCrop>false</ScaleCrop>
  <LinksUpToDate>false</LinksUpToDate>
  <CharactersWithSpaces>3011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2023-07-10T07:03:00Z</dcterms:created>
  <dc:creator>zyw</dc:creator>
  <cp:lastModifiedBy>于歌</cp:lastModifiedBy>
  <cp:lastPrinted>2023-09-11T07:52:21Z</cp:lastPrinted>
  <dcterms:modified xsi:type="dcterms:W3CDTF">2023-09-12T05:43:20Z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34600BF8DA6F47AFBE3304E3D86032B0_13</vt:lpwstr>
  </property>
</Properties>
</file>