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" w:lineRule="exact"/>
        <w:textAlignment w:val="center"/>
        <w:rPr>
          <w:rFonts w:eastAsia="PMingLiU"/>
          <w:highlight w:val="none"/>
          <w:lang w:eastAsia="zh-TW"/>
        </w:rPr>
      </w:pPr>
    </w:p>
    <w:p>
      <w:pPr>
        <w:spacing w:before="94" w:line="551" w:lineRule="exact"/>
        <w:jc w:val="center"/>
        <w:rPr>
          <w:rFonts w:ascii="楷体" w:hAnsi="楷体" w:eastAsia="楷体" w:cs="楷体"/>
          <w:b/>
          <w:bCs/>
          <w:spacing w:val="-19"/>
          <w:position w:val="19"/>
          <w:sz w:val="36"/>
          <w:szCs w:val="36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pacing w:val="-19"/>
          <w:position w:val="19"/>
          <w:sz w:val="36"/>
          <w:szCs w:val="36"/>
          <w:highlight w:val="none"/>
          <w:lang w:eastAsia="zh-CN"/>
        </w:rPr>
        <w:t>教育学院存在异议博士学位论文复评办法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学位论文是研究生研究能力和学术水平的集中体现，是研究生取得的创新性成果的总结。为进一步提高我院学位论文质量，保证学位授予质量，根据《中华人民共和国学位条例》《上海交通大学关于申请授予博士学位的规定》（沪交研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[2021]80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号）《上海交通大学学位论文抽检暂行规定》（沪交研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[2019]86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号），结合我院实际情况，特制定本办法。</w:t>
      </w:r>
    </w:p>
    <w:p>
      <w:pPr>
        <w:spacing w:before="94" w:line="551" w:lineRule="exact"/>
        <w:ind w:firstLine="462" w:firstLineChars="200"/>
        <w:jc w:val="center"/>
        <w:rPr>
          <w:rFonts w:ascii="仿宋" w:hAnsi="仿宋" w:eastAsia="仿宋" w:cs="仿宋"/>
          <w:b/>
          <w:bCs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pacing w:val="-5"/>
          <w:sz w:val="24"/>
          <w:szCs w:val="24"/>
          <w:highlight w:val="none"/>
          <w:lang w:eastAsia="zh-CN"/>
        </w:rPr>
        <w:t>异议论文</w:t>
      </w:r>
    </w:p>
    <w:p>
      <w:pPr>
        <w:spacing w:before="94" w:line="551" w:lineRule="exact"/>
        <w:ind w:firstLine="484" w:firstLineChars="200"/>
        <w:jc w:val="both"/>
        <w:rPr>
          <w:rFonts w:ascii="仿宋" w:hAnsi="仿宋" w:eastAsia="仿宋" w:cs="仿宋"/>
          <w:spacing w:val="1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1"/>
          <w:sz w:val="24"/>
          <w:szCs w:val="24"/>
          <w:highlight w:val="none"/>
          <w:lang w:eastAsia="zh-CN"/>
        </w:rPr>
        <w:t>学校抽检抽中的博士学位论文，根据《上海交通大学关于学位论文抽检的暂行规定》进行双盲评议，由</w:t>
      </w:r>
      <w:r>
        <w:rPr>
          <w:rFonts w:ascii="仿宋" w:hAnsi="仿宋" w:eastAsia="仿宋" w:cs="仿宋"/>
          <w:spacing w:val="1"/>
          <w:sz w:val="24"/>
          <w:szCs w:val="24"/>
          <w:highlight w:val="none"/>
          <w:lang w:eastAsia="zh-CN"/>
        </w:rPr>
        <w:t>3</w:t>
      </w:r>
      <w:r>
        <w:rPr>
          <w:rFonts w:hint="eastAsia" w:ascii="仿宋" w:hAnsi="仿宋" w:eastAsia="仿宋" w:cs="仿宋"/>
          <w:spacing w:val="1"/>
          <w:sz w:val="24"/>
          <w:szCs w:val="24"/>
          <w:highlight w:val="none"/>
          <w:lang w:eastAsia="zh-CN"/>
        </w:rPr>
        <w:t>名同行专家通讯评议。</w:t>
      </w:r>
      <w:r>
        <w:rPr>
          <w:rFonts w:ascii="仿宋" w:hAnsi="仿宋" w:eastAsia="仿宋" w:cs="仿宋"/>
          <w:spacing w:val="1"/>
          <w:sz w:val="24"/>
          <w:szCs w:val="24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pacing w:val="1"/>
          <w:sz w:val="24"/>
          <w:szCs w:val="24"/>
          <w:highlight w:val="none"/>
          <w:lang w:eastAsia="zh-CN"/>
        </w:rPr>
        <w:t>名以上（含</w:t>
      </w:r>
      <w:r>
        <w:rPr>
          <w:rFonts w:ascii="仿宋" w:hAnsi="仿宋" w:eastAsia="仿宋" w:cs="仿宋"/>
          <w:spacing w:val="1"/>
          <w:sz w:val="24"/>
          <w:szCs w:val="24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pacing w:val="1"/>
          <w:sz w:val="24"/>
          <w:szCs w:val="24"/>
          <w:highlight w:val="none"/>
          <w:lang w:eastAsia="zh-CN"/>
        </w:rPr>
        <w:t>名）</w:t>
      </w:r>
      <w:r>
        <w:rPr>
          <w:rFonts w:hint="eastAsia" w:ascii="仿宋" w:hAnsi="仿宋" w:eastAsia="仿宋" w:cs="仿宋"/>
          <w:b/>
          <w:spacing w:val="1"/>
          <w:sz w:val="24"/>
          <w:szCs w:val="24"/>
          <w:highlight w:val="none"/>
          <w:lang w:eastAsia="zh-CN"/>
        </w:rPr>
        <w:t>总体评价意见为“不合格”的，认定为异议论文</w:t>
      </w:r>
      <w:r>
        <w:rPr>
          <w:rFonts w:hint="eastAsia" w:ascii="仿宋" w:hAnsi="仿宋" w:eastAsia="仿宋" w:cs="仿宋"/>
          <w:spacing w:val="1"/>
          <w:sz w:val="24"/>
          <w:szCs w:val="24"/>
          <w:highlight w:val="none"/>
          <w:lang w:eastAsia="zh-CN"/>
        </w:rPr>
        <w:t>。</w:t>
      </w:r>
    </w:p>
    <w:p>
      <w:pPr>
        <w:spacing w:before="94" w:line="551" w:lineRule="exact"/>
        <w:ind w:firstLine="484" w:firstLineChars="200"/>
        <w:jc w:val="both"/>
        <w:rPr>
          <w:rFonts w:ascii="仿宋" w:hAnsi="仿宋" w:eastAsia="仿宋" w:cs="仿宋"/>
          <w:spacing w:val="-9"/>
          <w:sz w:val="25"/>
          <w:szCs w:val="25"/>
          <w:highlight w:val="none"/>
          <w:lang w:eastAsia="zh-CN"/>
        </w:rPr>
      </w:pPr>
      <w:r>
        <w:rPr>
          <w:rFonts w:hint="eastAsia" w:ascii="仿宋" w:hAnsi="仿宋" w:eastAsia="仿宋" w:cs="仿宋"/>
          <w:spacing w:val="1"/>
          <w:sz w:val="24"/>
          <w:szCs w:val="24"/>
          <w:highlight w:val="none"/>
          <w:lang w:eastAsia="zh-CN"/>
        </w:rPr>
        <w:t>学校</w:t>
      </w:r>
      <w:r>
        <w:rPr>
          <w:rFonts w:hint="eastAsia" w:ascii="仿宋" w:hAnsi="仿宋" w:eastAsia="仿宋" w:cs="仿宋"/>
          <w:spacing w:val="5"/>
          <w:sz w:val="24"/>
          <w:szCs w:val="24"/>
          <w:highlight w:val="none"/>
          <w:lang w:eastAsia="zh-CN"/>
        </w:rPr>
        <w:t>抽检未抽中的博士学位论文，根据《上海交通大学关于申请授予博士学位的规定》进行国际评审或国内评审。国内评审的学位论文，分别由三位同行专家评审，其中一份由所在学科聘请</w:t>
      </w:r>
      <w:r>
        <w:rPr>
          <w:rFonts w:ascii="仿宋" w:hAnsi="仿宋" w:eastAsia="仿宋" w:cs="仿宋"/>
          <w:spacing w:val="5"/>
          <w:sz w:val="24"/>
          <w:szCs w:val="24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pacing w:val="5"/>
          <w:sz w:val="24"/>
          <w:szCs w:val="24"/>
          <w:highlight w:val="none"/>
          <w:lang w:eastAsia="zh-CN"/>
        </w:rPr>
        <w:t>名副教授以上职称（含副教授，副教授级专家须有博士学位）同行专家评审，另外两份由学校聘请</w:t>
      </w:r>
      <w:r>
        <w:rPr>
          <w:rFonts w:ascii="仿宋" w:hAnsi="仿宋" w:eastAsia="仿宋" w:cs="仿宋"/>
          <w:spacing w:val="5"/>
          <w:sz w:val="24"/>
          <w:szCs w:val="24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spacing w:val="5"/>
          <w:sz w:val="24"/>
          <w:szCs w:val="24"/>
          <w:highlight w:val="none"/>
          <w:lang w:eastAsia="zh-CN"/>
        </w:rPr>
        <w:t>名校外教授级同行专家进行双盲评审。评审专家填写《博士生学位论文评价意见表》（附件</w:t>
      </w:r>
      <w:r>
        <w:rPr>
          <w:rFonts w:hint="eastAsia" w:ascii="仿宋" w:hAnsi="仿宋" w:eastAsia="PMingLiU" w:cs="仿宋"/>
          <w:spacing w:val="5"/>
          <w:sz w:val="24"/>
          <w:szCs w:val="24"/>
          <w:highlight w:val="none"/>
          <w:lang w:eastAsia="zh-TW"/>
        </w:rPr>
        <w:t>1</w:t>
      </w:r>
      <w:r>
        <w:rPr>
          <w:rFonts w:hint="eastAsia" w:ascii="仿宋" w:hAnsi="仿宋" w:eastAsia="仿宋" w:cs="仿宋"/>
          <w:spacing w:val="5"/>
          <w:sz w:val="24"/>
          <w:szCs w:val="24"/>
          <w:highlight w:val="none"/>
          <w:lang w:eastAsia="zh-CN"/>
        </w:rPr>
        <w:t>）。</w:t>
      </w:r>
      <w:r>
        <w:rPr>
          <w:rFonts w:hint="eastAsia" w:ascii="仿宋" w:hAnsi="仿宋" w:eastAsia="仿宋" w:cs="仿宋"/>
          <w:spacing w:val="-10"/>
          <w:sz w:val="24"/>
          <w:szCs w:val="24"/>
          <w:highlight w:val="none"/>
          <w:lang w:eastAsia="zh-CN"/>
        </w:rPr>
        <w:t>评审结果总体评价“不合格”或任一分项评价为“较差”，</w:t>
      </w:r>
      <w:r>
        <w:rPr>
          <w:rFonts w:hint="eastAsia" w:ascii="仿宋" w:hAnsi="仿宋" w:eastAsia="仿宋" w:cs="仿宋"/>
          <w:spacing w:val="11"/>
          <w:sz w:val="24"/>
          <w:szCs w:val="24"/>
          <w:highlight w:val="none"/>
          <w:lang w:eastAsia="zh-CN"/>
        </w:rPr>
        <w:t>认定为异议论文</w:t>
      </w:r>
      <w:r>
        <w:rPr>
          <w:rFonts w:hint="eastAsia" w:ascii="仿宋" w:hAnsi="仿宋" w:eastAsia="仿宋" w:cs="仿宋"/>
          <w:spacing w:val="-9"/>
          <w:sz w:val="25"/>
          <w:szCs w:val="25"/>
          <w:highlight w:val="none"/>
          <w:lang w:eastAsia="zh-CN"/>
        </w:rPr>
        <w:t>。</w:t>
      </w:r>
    </w:p>
    <w:p>
      <w:pPr>
        <w:spacing w:before="94" w:line="551" w:lineRule="exact"/>
        <w:ind w:firstLine="484" w:firstLineChars="200"/>
        <w:jc w:val="both"/>
        <w:rPr>
          <w:rFonts w:ascii="仿宋" w:hAnsi="仿宋" w:eastAsia="仿宋" w:cs="仿宋"/>
          <w:spacing w:val="1"/>
          <w:sz w:val="24"/>
          <w:szCs w:val="24"/>
          <w:highlight w:val="none"/>
          <w:lang w:eastAsia="zh-CN"/>
        </w:rPr>
      </w:pPr>
    </w:p>
    <w:p>
      <w:pPr>
        <w:spacing w:before="94" w:line="551" w:lineRule="exact"/>
        <w:ind w:firstLine="454" w:firstLineChars="200"/>
        <w:jc w:val="center"/>
        <w:rPr>
          <w:rFonts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pacing w:val="-7"/>
          <w:sz w:val="24"/>
          <w:szCs w:val="24"/>
          <w:highlight w:val="none"/>
          <w:lang w:eastAsia="zh-CN"/>
        </w:rPr>
        <w:t>复评办法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认定为异议论文的，若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份总体评价“不合格”，博士生须在导师指导下根据评审意见修改论文，修改满一个月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自收到异议论文通知之日算起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)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后，经导师同意，方可申请复评。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认定为异议论文的，若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份总体评价“不合格”，博士生须在导师指导下根据评审意见修改论文，修改满两周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自收到异议论文通知之日算起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)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后，经导师同意，方可申请复评。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认定为异议论文的，若总体评价均合格但分项评价有“较差”，博士生须在导师指导下根据评审意见修改论文，修改满一周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自收到异议论文通知之日算起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)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后，经导师同意，方可申请复评。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复评论文由学院聘请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名校外同行专家评审。评审专家须具备博士研究生指导资格并具有副高及以上职称。评审专家填写《博士生学位论文评价意见表》并在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10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个工作日内返回评审结果。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份复评意见的总体评价均为“合格”且分项评价均无“较差”，认定为复评通过。复评通过后方可申请答辩。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 xml:space="preserve">若有1份及以上复评意见总体评价为“不合格”，认定为第一次复评不通过。博士生须在导师指导下根据评审意见修改论文，修改满半年（自收到复评结果通知之日算起）后，经导师同意，方可申请二次复评。 </w:t>
      </w: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二次复评由学院聘请</w:t>
      </w:r>
      <w:r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  <w:t>3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名校外同行专家进行。3份复评意见的总体评价均为“合格”，认定为二次复评通过。二次复评通过后方可申请答辩。</w:t>
      </w:r>
    </w:p>
    <w:p>
      <w:pPr>
        <w:spacing w:before="94" w:line="551" w:lineRule="exact"/>
        <w:ind w:firstLine="460" w:firstLineChars="200"/>
        <w:jc w:val="both"/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每篇博士学位论文仅有两次复评机会。如对二次复评结果持有异议，博士生可提出申诉，导师签名同意后提交教育学院学位评定委员会审议。</w:t>
      </w:r>
    </w:p>
    <w:p>
      <w:pPr>
        <w:spacing w:before="265" w:line="222" w:lineRule="auto"/>
        <w:jc w:val="center"/>
        <w:rPr>
          <w:rFonts w:ascii="仿宋" w:hAnsi="仿宋" w:eastAsia="仿宋" w:cs="仿宋"/>
          <w:b/>
          <w:bCs/>
          <w:spacing w:val="-9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pacing w:val="-9"/>
          <w:sz w:val="24"/>
          <w:szCs w:val="24"/>
          <w:highlight w:val="none"/>
          <w:lang w:eastAsia="zh-CN"/>
        </w:rPr>
        <w:t>其他</w:t>
      </w:r>
    </w:p>
    <w:p>
      <w:pPr>
        <w:spacing w:before="265" w:line="222" w:lineRule="auto"/>
        <w:jc w:val="both"/>
        <w:rPr>
          <w:rFonts w:ascii="仿宋" w:hAnsi="仿宋" w:eastAsia="仿宋" w:cs="仿宋"/>
          <w:sz w:val="24"/>
          <w:szCs w:val="24"/>
          <w:highlight w:val="none"/>
          <w:lang w:eastAsia="zh-CN"/>
        </w:rPr>
      </w:pPr>
    </w:p>
    <w:p>
      <w:pPr>
        <w:spacing w:before="1" w:line="220" w:lineRule="auto"/>
        <w:rPr>
          <w:rFonts w:ascii="仿宋" w:hAnsi="仿宋" w:eastAsia="仿宋" w:cs="仿宋"/>
          <w:spacing w:val="-3"/>
          <w:sz w:val="24"/>
          <w:szCs w:val="24"/>
          <w:highlight w:val="none"/>
          <w:lang w:eastAsia="zh-CN"/>
        </w:rPr>
      </w:pPr>
    </w:p>
    <w:p>
      <w:pPr>
        <w:spacing w:before="94" w:line="551" w:lineRule="exact"/>
        <w:ind w:firstLine="460" w:firstLineChars="200"/>
        <w:jc w:val="both"/>
        <w:rPr>
          <w:rFonts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复评费用由导师支出。复评费标准参照学校规定。</w:t>
      </w:r>
    </w:p>
    <w:p>
      <w:pPr>
        <w:spacing w:before="94" w:line="551" w:lineRule="exact"/>
        <w:ind w:firstLine="460" w:firstLineChars="200"/>
        <w:jc w:val="both"/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本办法由教育学院学位评定委员会负责解释。</w:t>
      </w:r>
    </w:p>
    <w:p>
      <w:pPr>
        <w:spacing w:before="94" w:line="551" w:lineRule="exact"/>
        <w:ind w:firstLine="460" w:firstLineChars="200"/>
        <w:jc w:val="both"/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本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val="en-US" w:eastAsia="zh-CN"/>
        </w:rPr>
        <w:t>办法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自2024级教育学博士生开始执行，202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  <w:t>级之前博士生可参照执行。</w:t>
      </w:r>
      <w:bookmarkEnd w:id="0"/>
    </w:p>
    <w:p>
      <w:pPr>
        <w:spacing w:before="94" w:line="551" w:lineRule="exact"/>
        <w:ind w:firstLine="460" w:firstLineChars="200"/>
        <w:jc w:val="both"/>
        <w:rPr>
          <w:rFonts w:hint="eastAsia" w:ascii="仿宋" w:hAnsi="仿宋" w:eastAsia="仿宋" w:cs="仿宋"/>
          <w:spacing w:val="-5"/>
          <w:sz w:val="24"/>
          <w:szCs w:val="24"/>
          <w:highlight w:val="none"/>
          <w:lang w:eastAsia="zh-CN"/>
        </w:rPr>
      </w:pPr>
    </w:p>
    <w:p>
      <w:pPr>
        <w:spacing w:before="1" w:line="480" w:lineRule="auto"/>
        <w:jc w:val="both"/>
        <w:rPr>
          <w:rFonts w:ascii="仿宋" w:hAnsi="仿宋" w:eastAsia="仿宋" w:cs="仿宋"/>
          <w:spacing w:val="-21"/>
          <w:sz w:val="26"/>
          <w:szCs w:val="26"/>
          <w:highlight w:val="none"/>
          <w:lang w:eastAsia="zh-CN"/>
        </w:rPr>
      </w:pPr>
    </w:p>
    <w:p>
      <w:pPr>
        <w:spacing w:before="1" w:line="480" w:lineRule="auto"/>
        <w:jc w:val="center"/>
        <w:rPr>
          <w:rFonts w:ascii="仿宋" w:hAnsi="仿宋" w:eastAsia="仿宋" w:cs="仿宋"/>
          <w:spacing w:val="-21"/>
          <w:sz w:val="26"/>
          <w:szCs w:val="26"/>
          <w:highlight w:val="none"/>
          <w:lang w:eastAsia="zh-CN"/>
        </w:rPr>
      </w:pPr>
      <w:r>
        <w:rPr>
          <w:rFonts w:ascii="仿宋" w:hAnsi="仿宋" w:eastAsia="仿宋" w:cs="仿宋"/>
          <w:spacing w:val="-21"/>
          <w:sz w:val="26"/>
          <w:szCs w:val="26"/>
          <w:highlight w:val="none"/>
          <w:lang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pacing w:val="-21"/>
          <w:sz w:val="26"/>
          <w:szCs w:val="26"/>
          <w:highlight w:val="none"/>
          <w:lang w:eastAsia="zh-CN"/>
        </w:rPr>
        <w:t>教育学院学位评定委员会</w:t>
      </w:r>
    </w:p>
    <w:p>
      <w:pPr>
        <w:spacing w:before="1" w:line="480" w:lineRule="auto"/>
        <w:jc w:val="right"/>
        <w:rPr>
          <w:rFonts w:ascii="仿宋" w:hAnsi="仿宋" w:eastAsia="仿宋" w:cs="仿宋"/>
          <w:spacing w:val="-21"/>
          <w:sz w:val="26"/>
          <w:szCs w:val="26"/>
          <w:highlight w:val="none"/>
          <w:lang w:eastAsia="zh-CN"/>
        </w:rPr>
      </w:pPr>
      <w:r>
        <w:rPr>
          <w:rFonts w:hint="eastAsia" w:ascii="仿宋" w:hAnsi="仿宋" w:eastAsia="仿宋" w:cs="仿宋"/>
          <w:spacing w:val="-21"/>
          <w:sz w:val="26"/>
          <w:szCs w:val="26"/>
          <w:highlight w:val="none"/>
          <w:lang w:eastAsia="zh-CN"/>
        </w:rPr>
        <w:t>2023年12月</w:t>
      </w:r>
    </w:p>
    <w:p>
      <w:pPr>
        <w:spacing w:before="1" w:line="480" w:lineRule="auto"/>
        <w:rPr>
          <w:rFonts w:ascii="仿宋" w:hAnsi="仿宋" w:eastAsia="仿宋" w:cs="仿宋"/>
          <w:spacing w:val="-21"/>
          <w:sz w:val="26"/>
          <w:szCs w:val="26"/>
          <w:highlight w:val="none"/>
          <w:lang w:eastAsia="zh-CN"/>
        </w:rPr>
        <w:sectPr>
          <w:footerReference r:id="rId3" w:type="default"/>
          <w:type w:val="continuous"/>
          <w:pgSz w:w="10180" w:h="14410"/>
          <w:pgMar w:top="1145" w:right="1527" w:bottom="1374" w:left="1500" w:header="0" w:footer="1255" w:gutter="0"/>
          <w:cols w:equalWidth="0" w:num="1">
            <w:col w:w="7153"/>
          </w:cols>
        </w:sectPr>
      </w:pPr>
      <w:r>
        <w:rPr>
          <w:rFonts w:hint="eastAsia" w:ascii="仿宋" w:hAnsi="仿宋" w:eastAsia="仿宋" w:cs="仿宋"/>
          <w:spacing w:val="-21"/>
          <w:sz w:val="26"/>
          <w:szCs w:val="26"/>
          <w:highlight w:val="none"/>
          <w:lang w:eastAsia="zh-CN"/>
        </w:rPr>
        <w:t>附件</w:t>
      </w:r>
      <w:r>
        <w:rPr>
          <w:rFonts w:ascii="仿宋" w:hAnsi="仿宋" w:eastAsia="仿宋" w:cs="仿宋"/>
          <w:spacing w:val="-21"/>
          <w:sz w:val="26"/>
          <w:szCs w:val="26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pacing w:val="-21"/>
          <w:sz w:val="26"/>
          <w:szCs w:val="26"/>
          <w:highlight w:val="none"/>
          <w:lang w:eastAsia="zh-CN"/>
        </w:rPr>
        <w:t>：《博士学位论文评价意见表》</w:t>
      </w:r>
    </w:p>
    <w:p>
      <w:pPr>
        <w:rPr>
          <w:sz w:val="2"/>
          <w:szCs w:val="24"/>
          <w:highlight w:val="none"/>
          <w:lang w:eastAsia="zh-CN"/>
        </w:rPr>
      </w:pPr>
    </w:p>
    <w:tbl>
      <w:tblPr>
        <w:tblStyle w:val="8"/>
        <w:tblW w:w="9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0"/>
        <w:gridCol w:w="879"/>
        <w:gridCol w:w="1220"/>
        <w:gridCol w:w="640"/>
        <w:gridCol w:w="640"/>
        <w:gridCol w:w="660"/>
        <w:gridCol w:w="700"/>
        <w:gridCol w:w="700"/>
        <w:gridCol w:w="859"/>
        <w:gridCol w:w="640"/>
        <w:gridCol w:w="260"/>
        <w:gridCol w:w="540"/>
        <w:gridCol w:w="640"/>
        <w:gridCol w:w="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Theme="minorEastAsia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36"/>
                <w:szCs w:val="24"/>
                <w:highlight w:val="none"/>
                <w:lang w:eastAsia="zh-CN"/>
              </w:rPr>
            </w:pPr>
          </w:p>
        </w:tc>
        <w:tc>
          <w:tcPr>
            <w:tcW w:w="839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36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6"/>
                <w:szCs w:val="24"/>
                <w:highlight w:val="none"/>
                <w:lang w:eastAsia="zh-CN"/>
              </w:rPr>
              <w:t>博士学位论文评价意见表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36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398" w:type="dxa"/>
            <w:gridSpan w:val="13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36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36"/>
                <w:szCs w:val="24"/>
                <w:highlight w:val="none"/>
                <w:lang w:eastAsia="zh-CN"/>
              </w:rPr>
              <w:t>（人文社会科学类）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号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22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导师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论文编号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学科专业</w:t>
            </w:r>
          </w:p>
        </w:tc>
        <w:tc>
          <w:tcPr>
            <w:tcW w:w="503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论文类型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院系</w:t>
            </w:r>
          </w:p>
        </w:tc>
        <w:tc>
          <w:tcPr>
            <w:tcW w:w="503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论文题目</w:t>
            </w:r>
          </w:p>
        </w:tc>
        <w:tc>
          <w:tcPr>
            <w:tcW w:w="819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819" w:type="dxa"/>
            <w:gridSpan w:val="4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3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32"/>
                <w:szCs w:val="24"/>
                <w:highlight w:val="none"/>
                <w:lang w:eastAsia="zh-CN"/>
              </w:rPr>
              <w:t>一、分项评价</w:t>
            </w:r>
          </w:p>
        </w:tc>
        <w:tc>
          <w:tcPr>
            <w:tcW w:w="6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798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请依据评价要素，在“分项评价”栏对每个分项按“优秀”、“良好”、</w:t>
            </w:r>
            <w: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“一般”、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098" w:type="dxa"/>
            <w:gridSpan w:val="14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“较差”四档进行评价。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评价指标</w:t>
            </w:r>
          </w:p>
        </w:tc>
        <w:tc>
          <w:tcPr>
            <w:tcW w:w="63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评价要素</w:t>
            </w:r>
          </w:p>
        </w:tc>
        <w:tc>
          <w:tcPr>
            <w:tcW w:w="1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分项评价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选题</w:t>
            </w:r>
          </w:p>
        </w:tc>
        <w:tc>
          <w:tcPr>
            <w:tcW w:w="63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选题的前沿性和开创性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优秀□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良好□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一般□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较差□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研究的理论意义、现实意义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对国内外该选题及相关领域发展现状的归纳、总结情况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创新性及</w:t>
            </w:r>
          </w:p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论文价值</w:t>
            </w:r>
          </w:p>
        </w:tc>
        <w:tc>
          <w:tcPr>
            <w:tcW w:w="63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对学科发展的贡献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优秀□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良好□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一般□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较差□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对解决社会发展中的重要理论问题和现实问题的作用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论文及成果对文化事业的发展和社会进步的影响和贡献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59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基础知识</w:t>
            </w:r>
          </w:p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及</w:t>
            </w:r>
          </w:p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科研能力</w:t>
            </w:r>
          </w:p>
        </w:tc>
        <w:tc>
          <w:tcPr>
            <w:tcW w:w="63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论文体现的学科理论基础坚实宽广程度和专门知识系统深入程度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优秀□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良好□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一般□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较差□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论文研究方法的科学性，引证资料的翔实性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论文所体现的作者独立从事科学研究的能力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</w:t>
            </w:r>
          </w:p>
          <w:p>
            <w:pPr>
              <w:ind w:left="40"/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规范性</w:t>
            </w:r>
          </w:p>
        </w:tc>
        <w:tc>
          <w:tcPr>
            <w:tcW w:w="6319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引文的规范性，学风的严谨性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优秀□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良好□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一般□</w:t>
            </w:r>
          </w:p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较差□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论文结构的逻辑性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59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319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ind w:left="100"/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文字表述的准确性、流畅性</w:t>
            </w:r>
          </w:p>
        </w:tc>
        <w:tc>
          <w:tcPr>
            <w:tcW w:w="18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819" w:type="dxa"/>
            <w:gridSpan w:val="4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3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32"/>
                <w:szCs w:val="24"/>
                <w:highlight w:val="none"/>
                <w:lang w:eastAsia="zh-CN"/>
              </w:rPr>
              <w:t>二、总体评价</w:t>
            </w:r>
          </w:p>
        </w:tc>
        <w:tc>
          <w:tcPr>
            <w:tcW w:w="6979" w:type="dxa"/>
            <w:gridSpan w:val="11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ind w:left="40"/>
              <w:rPr>
                <w:rFonts w:ascii="宋体" w:hAnsi="宋体" w:eastAsia="宋体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798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总体评价分为“合格”、“不合格”两档。如果评为“不合格”则须在第三项“综合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798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评价意见”中填写主要理由。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9798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合格□</w:t>
            </w:r>
            <w: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不合格□</w:t>
            </w:r>
          </w:p>
        </w:tc>
      </w:tr>
    </w:tbl>
    <w:p>
      <w:pPr>
        <w:rPr>
          <w:rFonts w:ascii="宋体" w:hAnsi="宋体" w:eastAsia="宋体"/>
          <w:sz w:val="2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br w:type="page"/>
      </w:r>
    </w:p>
    <w:tbl>
      <w:tblPr>
        <w:tblStyle w:val="8"/>
        <w:tblW w:w="98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360"/>
        <w:gridCol w:w="880"/>
        <w:gridCol w:w="1221"/>
        <w:gridCol w:w="640"/>
        <w:gridCol w:w="640"/>
        <w:gridCol w:w="660"/>
        <w:gridCol w:w="701"/>
        <w:gridCol w:w="701"/>
        <w:gridCol w:w="860"/>
        <w:gridCol w:w="640"/>
        <w:gridCol w:w="260"/>
        <w:gridCol w:w="540"/>
        <w:gridCol w:w="640"/>
        <w:gridCol w:w="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32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32"/>
                <w:szCs w:val="24"/>
                <w:highlight w:val="none"/>
                <w:lang w:eastAsia="zh-CN"/>
              </w:rPr>
              <w:t>三、综合评价意见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798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请在下表中填写综合评价意见。对总评“不合格”的此处必填，给出不合格主要理由。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0" w:hRule="exact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3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rPr>
          <w:highlight w:val="none"/>
          <w:lang w:eastAsia="zh-CN"/>
        </w:rPr>
        <w:sectPr>
          <w:footerReference r:id="rId4" w:type="default"/>
          <w:pgSz w:w="11907" w:h="16839"/>
          <w:pgMar w:top="1431" w:right="1048" w:bottom="1371" w:left="1048" w:header="0" w:footer="1209" w:gutter="0"/>
          <w:cols w:space="720" w:num="1"/>
        </w:sectPr>
      </w:pPr>
    </w:p>
    <w:p>
      <w:pPr>
        <w:spacing w:before="236" w:line="194" w:lineRule="auto"/>
        <w:rPr>
          <w:rFonts w:ascii="微软雅黑" w:hAnsi="微软雅黑" w:eastAsia="微软雅黑" w:cs="微软雅黑"/>
          <w:sz w:val="28"/>
          <w:szCs w:val="28"/>
          <w:highlight w:val="none"/>
          <w:lang w:eastAsia="zh-CN"/>
        </w:rPr>
      </w:pPr>
    </w:p>
    <w:sectPr>
      <w:footerReference r:id="rId5" w:type="default"/>
      <w:pgSz w:w="11907" w:h="16839"/>
      <w:pgMar w:top="1423" w:right="1785" w:bottom="1372" w:left="1785" w:header="0" w:footer="12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509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left="486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09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wMDc0ZjljYTA3OWQ2MjVjODE0YzI3MTIzM2YxYzgifQ=="/>
  </w:docVars>
  <w:rsids>
    <w:rsidRoot w:val="009B673B"/>
    <w:rsid w:val="000314BF"/>
    <w:rsid w:val="0006223F"/>
    <w:rsid w:val="00123432"/>
    <w:rsid w:val="0018274C"/>
    <w:rsid w:val="00233F2D"/>
    <w:rsid w:val="0027751F"/>
    <w:rsid w:val="00286931"/>
    <w:rsid w:val="003C4305"/>
    <w:rsid w:val="00412118"/>
    <w:rsid w:val="00434C66"/>
    <w:rsid w:val="0044138D"/>
    <w:rsid w:val="00462B73"/>
    <w:rsid w:val="004B4753"/>
    <w:rsid w:val="005900A4"/>
    <w:rsid w:val="005E3AED"/>
    <w:rsid w:val="0064293D"/>
    <w:rsid w:val="00681552"/>
    <w:rsid w:val="0069744B"/>
    <w:rsid w:val="006A2007"/>
    <w:rsid w:val="00805588"/>
    <w:rsid w:val="00893BA6"/>
    <w:rsid w:val="00994482"/>
    <w:rsid w:val="00995360"/>
    <w:rsid w:val="009B673B"/>
    <w:rsid w:val="009E503D"/>
    <w:rsid w:val="00A30D87"/>
    <w:rsid w:val="00A82275"/>
    <w:rsid w:val="00AE637C"/>
    <w:rsid w:val="00B2322E"/>
    <w:rsid w:val="00B95F94"/>
    <w:rsid w:val="00BC4975"/>
    <w:rsid w:val="00BC750E"/>
    <w:rsid w:val="00C94D53"/>
    <w:rsid w:val="00CC03FE"/>
    <w:rsid w:val="00D00757"/>
    <w:rsid w:val="00D95A7F"/>
    <w:rsid w:val="00E47EF5"/>
    <w:rsid w:val="00EC7CDD"/>
    <w:rsid w:val="00F634BC"/>
    <w:rsid w:val="00F83E3F"/>
    <w:rsid w:val="00FC12D5"/>
    <w:rsid w:val="01213882"/>
    <w:rsid w:val="01EE5E5A"/>
    <w:rsid w:val="01FD7E4B"/>
    <w:rsid w:val="023B391E"/>
    <w:rsid w:val="0254342C"/>
    <w:rsid w:val="03AC7D7B"/>
    <w:rsid w:val="05571F68"/>
    <w:rsid w:val="057E12A3"/>
    <w:rsid w:val="05E25CD6"/>
    <w:rsid w:val="06475B39"/>
    <w:rsid w:val="067A7CBC"/>
    <w:rsid w:val="06E074C0"/>
    <w:rsid w:val="08395955"/>
    <w:rsid w:val="08976DA7"/>
    <w:rsid w:val="08C01BD2"/>
    <w:rsid w:val="0A03446D"/>
    <w:rsid w:val="0A8E01DA"/>
    <w:rsid w:val="0B0F299D"/>
    <w:rsid w:val="0B732B06"/>
    <w:rsid w:val="0BF00A21"/>
    <w:rsid w:val="0D9378B6"/>
    <w:rsid w:val="0EA8251A"/>
    <w:rsid w:val="0FAB36E5"/>
    <w:rsid w:val="100D1BA1"/>
    <w:rsid w:val="101F18D4"/>
    <w:rsid w:val="10394744"/>
    <w:rsid w:val="10645539"/>
    <w:rsid w:val="106D0384"/>
    <w:rsid w:val="1323348A"/>
    <w:rsid w:val="145D29CB"/>
    <w:rsid w:val="146B333A"/>
    <w:rsid w:val="178C5AA1"/>
    <w:rsid w:val="19801636"/>
    <w:rsid w:val="19946E8F"/>
    <w:rsid w:val="1A4A57A0"/>
    <w:rsid w:val="1B666609"/>
    <w:rsid w:val="1B7C5E2D"/>
    <w:rsid w:val="1BAD248A"/>
    <w:rsid w:val="1BCA4DEA"/>
    <w:rsid w:val="1C9D605B"/>
    <w:rsid w:val="1DA11B7B"/>
    <w:rsid w:val="1EBA2EF4"/>
    <w:rsid w:val="1FC32EEA"/>
    <w:rsid w:val="20CA13E8"/>
    <w:rsid w:val="20F667B8"/>
    <w:rsid w:val="215A6C10"/>
    <w:rsid w:val="21B005DE"/>
    <w:rsid w:val="2309444A"/>
    <w:rsid w:val="23614286"/>
    <w:rsid w:val="24BF2795"/>
    <w:rsid w:val="263C4B36"/>
    <w:rsid w:val="26D27249"/>
    <w:rsid w:val="27E56B08"/>
    <w:rsid w:val="286D7229"/>
    <w:rsid w:val="2A7725E1"/>
    <w:rsid w:val="2A88034A"/>
    <w:rsid w:val="2A9F38E6"/>
    <w:rsid w:val="2AD52E64"/>
    <w:rsid w:val="2B42499D"/>
    <w:rsid w:val="2BB12166"/>
    <w:rsid w:val="2EFE0BDB"/>
    <w:rsid w:val="30F009F7"/>
    <w:rsid w:val="31D74D19"/>
    <w:rsid w:val="31E87920"/>
    <w:rsid w:val="338673F1"/>
    <w:rsid w:val="33F00D0E"/>
    <w:rsid w:val="348C566B"/>
    <w:rsid w:val="358160C2"/>
    <w:rsid w:val="362F3C68"/>
    <w:rsid w:val="39822409"/>
    <w:rsid w:val="3AF61300"/>
    <w:rsid w:val="3B331C0C"/>
    <w:rsid w:val="3B6B4983"/>
    <w:rsid w:val="3EFE4C27"/>
    <w:rsid w:val="3F163D1F"/>
    <w:rsid w:val="4053024E"/>
    <w:rsid w:val="405F34A4"/>
    <w:rsid w:val="414C1C7A"/>
    <w:rsid w:val="42C27D1A"/>
    <w:rsid w:val="42E67EAC"/>
    <w:rsid w:val="43063F77"/>
    <w:rsid w:val="43340247"/>
    <w:rsid w:val="46A75BA4"/>
    <w:rsid w:val="46D1677D"/>
    <w:rsid w:val="47CB7671"/>
    <w:rsid w:val="47DE1152"/>
    <w:rsid w:val="48036E0A"/>
    <w:rsid w:val="48AB1D80"/>
    <w:rsid w:val="490D6193"/>
    <w:rsid w:val="497A134E"/>
    <w:rsid w:val="49882CE4"/>
    <w:rsid w:val="4A712751"/>
    <w:rsid w:val="4AE051E1"/>
    <w:rsid w:val="4B38501D"/>
    <w:rsid w:val="4BC468B1"/>
    <w:rsid w:val="4D317F76"/>
    <w:rsid w:val="4D551EB6"/>
    <w:rsid w:val="50A62A29"/>
    <w:rsid w:val="512A5408"/>
    <w:rsid w:val="514209A3"/>
    <w:rsid w:val="518C60C3"/>
    <w:rsid w:val="51FE0D6E"/>
    <w:rsid w:val="53A771E4"/>
    <w:rsid w:val="540B7773"/>
    <w:rsid w:val="54BE0654"/>
    <w:rsid w:val="56C97471"/>
    <w:rsid w:val="576B22D6"/>
    <w:rsid w:val="57DD4B14"/>
    <w:rsid w:val="59CD7278"/>
    <w:rsid w:val="5B7E6A7C"/>
    <w:rsid w:val="5C272C70"/>
    <w:rsid w:val="5DBD5F8C"/>
    <w:rsid w:val="5DE52DE2"/>
    <w:rsid w:val="5E111E29"/>
    <w:rsid w:val="5F922AF6"/>
    <w:rsid w:val="601654D5"/>
    <w:rsid w:val="613C71BD"/>
    <w:rsid w:val="61754C1D"/>
    <w:rsid w:val="62A56FE4"/>
    <w:rsid w:val="62A82630"/>
    <w:rsid w:val="656824C1"/>
    <w:rsid w:val="65764C68"/>
    <w:rsid w:val="67FD341E"/>
    <w:rsid w:val="68282249"/>
    <w:rsid w:val="68953657"/>
    <w:rsid w:val="69C53AC8"/>
    <w:rsid w:val="6D196C93"/>
    <w:rsid w:val="6E4A0A40"/>
    <w:rsid w:val="6F7C2E7B"/>
    <w:rsid w:val="70706705"/>
    <w:rsid w:val="70B408F2"/>
    <w:rsid w:val="70B54896"/>
    <w:rsid w:val="71031AA6"/>
    <w:rsid w:val="710F046E"/>
    <w:rsid w:val="743E1047"/>
    <w:rsid w:val="748A7DE8"/>
    <w:rsid w:val="76D8308D"/>
    <w:rsid w:val="76F24B31"/>
    <w:rsid w:val="79D02964"/>
    <w:rsid w:val="7AA8546C"/>
    <w:rsid w:val="7B4A02D1"/>
    <w:rsid w:val="7B51340D"/>
    <w:rsid w:val="7B7B66DC"/>
    <w:rsid w:val="7C725D31"/>
    <w:rsid w:val="7CD662C0"/>
    <w:rsid w:val="7E8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qFormat/>
    <w:uiPriority w:val="0"/>
  </w:style>
  <w:style w:type="paragraph" w:styleId="3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</w:r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10">
    <w:name w:val="annotation reference"/>
    <w:basedOn w:val="9"/>
    <w:autoRedefine/>
    <w:qFormat/>
    <w:uiPriority w:val="0"/>
    <w:rPr>
      <w:sz w:val="21"/>
      <w:szCs w:val="21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3">
    <w:name w:val="批注框文本 字符"/>
    <w:basedOn w:val="9"/>
    <w:link w:val="4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4">
    <w:name w:val="批注文字 字符"/>
    <w:basedOn w:val="9"/>
    <w:link w:val="2"/>
    <w:autoRedefine/>
    <w:qFormat/>
    <w:uiPriority w:val="0"/>
    <w:rPr>
      <w:rFonts w:eastAsia="Arial"/>
      <w:snapToGrid w:val="0"/>
      <w:color w:val="000000"/>
      <w:sz w:val="21"/>
      <w:szCs w:val="21"/>
      <w:lang w:eastAsia="en-US"/>
    </w:rPr>
  </w:style>
  <w:style w:type="character" w:customStyle="1" w:styleId="15">
    <w:name w:val="批注主题 字符"/>
    <w:basedOn w:val="14"/>
    <w:link w:val="7"/>
    <w:autoRedefine/>
    <w:qFormat/>
    <w:uiPriority w:val="0"/>
    <w:rPr>
      <w:rFonts w:eastAsia="Arial"/>
      <w:b/>
      <w:bCs/>
      <w:snapToGrid w:val="0"/>
      <w:color w:val="000000"/>
      <w:sz w:val="21"/>
      <w:szCs w:val="21"/>
      <w:lang w:eastAsia="en-US"/>
    </w:rPr>
  </w:style>
  <w:style w:type="character" w:customStyle="1" w:styleId="16">
    <w:name w:val="页眉 字符"/>
    <w:basedOn w:val="9"/>
    <w:link w:val="6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7">
    <w:name w:val="页脚 字符"/>
    <w:basedOn w:val="9"/>
    <w:link w:val="5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700E-86CA-4B84-8028-46F5236969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1621</Words>
  <Characters>1640</Characters>
  <Lines>14</Lines>
  <Paragraphs>3</Paragraphs>
  <TotalTime>0</TotalTime>
  <ScaleCrop>false</ScaleCrop>
  <LinksUpToDate>false</LinksUpToDate>
  <CharactersWithSpaces>1703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2023-12-21T06:37:00Z</dcterms:created>
  <dc:creator>PC</dc:creator>
  <cp:lastModifiedBy>于歌</cp:lastModifiedBy>
  <cp:lastPrinted>2023-11-07T01:32:00Z</cp:lastPrinted>
  <dcterms:modified xsi:type="dcterms:W3CDTF">2024-06-26T02:30:26Z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2023-10-08T20:33:33Z</vt:filetime>
  </property>
  <property fmtid="{D5CDD505-2E9C-101B-9397-08002B2CF9AE}" pid="4" name="KSOProductBuildVer">
    <vt:lpwstr>2052-12.1.0.16929</vt:lpwstr>
  </property>
  <property fmtid="{D5CDD505-2E9C-101B-9397-08002B2CF9AE}" pid="5" name="ICV">
    <vt:lpwstr>7CBEEFB780314222A610F951587B2A18_13</vt:lpwstr>
  </property>
</Properties>
</file>